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73EB" w:rsidRDefault="00D66761">
      <w:bookmarkStart w:id="0" w:name="_GoBack"/>
      <w:r>
        <w:rPr>
          <w:noProof/>
          <w:lang w:eastAsia="fr-FR"/>
        </w:rPr>
        <w:drawing>
          <wp:inline distT="0" distB="0" distL="0" distR="0" wp14:anchorId="57E905E9" wp14:editId="7A3010BE">
            <wp:extent cx="9386645" cy="6403717"/>
            <wp:effectExtent l="0" t="0" r="508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52981"/>
                    <a:stretch/>
                  </pic:blipFill>
                  <pic:spPr bwMode="auto">
                    <a:xfrm>
                      <a:off x="0" y="0"/>
                      <a:ext cx="9406376" cy="64171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D973EB" w:rsidSect="00D6676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761"/>
    <w:rsid w:val="00D66761"/>
    <w:rsid w:val="00D97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66DE26-9591-4414-B536-BEA5FBB9D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Vinci Construction Fance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BONNET Sydney</dc:creator>
  <cp:keywords/>
  <dc:description/>
  <cp:lastModifiedBy>BONNET Sydney</cp:lastModifiedBy>
  <cp:revision>1</cp:revision>
  <dcterms:created xsi:type="dcterms:W3CDTF">2017-03-22T15:02:00Z</dcterms:created>
  <dcterms:modified xsi:type="dcterms:W3CDTF">2017-03-22T15:04:00Z</dcterms:modified>
</cp:coreProperties>
</file>