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28C0" w:rsidRDefault="00F11F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SE DU PRODUIT</w:t>
      </w:r>
    </w:p>
    <w:p w:rsidR="003C28C0" w:rsidRDefault="00F11FE3">
      <w:pPr>
        <w:jc w:val="center"/>
        <w:rPr>
          <w:sz w:val="28"/>
          <w:szCs w:val="28"/>
        </w:rPr>
      </w:pPr>
      <w:r>
        <w:rPr>
          <w:sz w:val="28"/>
          <w:szCs w:val="28"/>
        </w:rPr>
        <w:t>DECAPANT 800</w:t>
      </w:r>
    </w:p>
    <w:p w:rsidR="003C28C0" w:rsidRDefault="00C5336D">
      <w:pPr>
        <w:rPr>
          <w:b/>
        </w:rPr>
      </w:pPr>
      <w:r>
        <w:rPr>
          <w:b/>
          <w:noProof/>
        </w:rPr>
        <w:pict>
          <v:rect id="Rectangle 1" o:spid="_x0000_s1026" style="position:absolute;margin-left:-63.6pt;margin-top:13.65pt;width:594.7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3C28C0" w:rsidRDefault="00F11FE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Informations générales</w:t>
                  </w:r>
                </w:p>
              </w:txbxContent>
            </v:textbox>
          </v:rect>
        </w:pict>
      </w:r>
    </w:p>
    <w:p w:rsidR="003C28C0" w:rsidRDefault="003C28C0">
      <w:pPr>
        <w:rPr>
          <w:b/>
        </w:rPr>
      </w:pPr>
    </w:p>
    <w:p w:rsidR="003C28C0" w:rsidRDefault="00F11FE3">
      <w:pPr>
        <w:spacing w:after="0"/>
      </w:pPr>
      <w:r>
        <w:rPr>
          <w:b/>
        </w:rPr>
        <w:t xml:space="preserve">Code du produit : </w:t>
      </w:r>
      <w:r>
        <w:t>*SDS05195</w:t>
      </w:r>
    </w:p>
    <w:p w:rsidR="003C28C0" w:rsidRDefault="00F11FE3">
      <w:pPr>
        <w:spacing w:after="0"/>
      </w:pPr>
      <w:r>
        <w:rPr>
          <w:b/>
        </w:rPr>
        <w:t xml:space="preserve">Fabricant/Fournisseur : </w:t>
      </w:r>
    </w:p>
    <w:p w:rsidR="003C28C0" w:rsidRDefault="00F11FE3">
      <w:pPr>
        <w:spacing w:after="0"/>
        <w:rPr>
          <w:b/>
        </w:rPr>
      </w:pPr>
      <w:r>
        <w:rPr>
          <w:b/>
        </w:rPr>
        <w:t xml:space="preserve">Date de mise à jour de la FDS : </w:t>
      </w:r>
      <w:r>
        <w:t>15 07 2015</w:t>
      </w:r>
    </w:p>
    <w:p w:rsidR="003C28C0" w:rsidRPr="006B6CA6" w:rsidRDefault="00F11FE3">
      <w:pPr>
        <w:spacing w:after="0"/>
      </w:pPr>
      <w:r w:rsidRPr="006B6CA6">
        <w:rPr>
          <w:b/>
        </w:rPr>
        <w:t xml:space="preserve">Utilisation : </w:t>
      </w:r>
      <w:r w:rsidRPr="006B6CA6">
        <w:t>Décapant de brasage</w:t>
      </w:r>
    </w:p>
    <w:p w:rsidR="003C28C0" w:rsidRPr="006B6CA6" w:rsidRDefault="00C5336D">
      <w:pPr>
        <w:rPr>
          <w:b/>
        </w:rPr>
      </w:pPr>
      <w:r>
        <w:rPr>
          <w:b/>
          <w:noProof/>
        </w:rPr>
        <w:pict>
          <v:rect id="Rectangle 2" o:spid="_x0000_s1027" style="position:absolute;margin-left:-63.95pt;margin-top:16.35pt;width:594.7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3C28C0" w:rsidRDefault="00F11FE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Etiquetage réglementaire du produit (CLP)</w:t>
                  </w:r>
                </w:p>
              </w:txbxContent>
            </v:textbox>
          </v:rect>
        </w:pict>
      </w:r>
    </w:p>
    <w:p w:rsidR="003C28C0" w:rsidRPr="006B6CA6" w:rsidRDefault="003C28C0">
      <w:pPr>
        <w:rPr>
          <w:b/>
        </w:rPr>
      </w:pPr>
    </w:p>
    <w:p w:rsidR="003C28C0" w:rsidRPr="006B6CA6" w:rsidRDefault="00F11FE3">
      <w:r w:rsidRPr="006B6CA6">
        <w:rPr>
          <w:b/>
        </w:rPr>
        <w:t>Pictogrammes :</w:t>
      </w:r>
      <w:r w:rsidRPr="006B6CA6">
        <w:rPr>
          <w:b/>
        </w:rPr>
        <w:tab/>
        <w:t xml:space="preserve"> </w:t>
      </w:r>
      <w:r w:rsidRPr="006B6CA6">
        <w:t>SGH05, SGH07, SGH08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911"/>
      </w:tblGrid>
      <w:tr w:rsidR="003C28C0">
        <w:tc>
          <w:tcPr>
            <w:tcW w:w="1870" w:type="dxa"/>
          </w:tcPr>
          <w:p w:rsidR="003C28C0" w:rsidRDefault="00F11FE3">
            <w:r>
              <w:object w:dxaOrig="1620" w:dyaOrig="18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pt;height:93pt" o:ole="">
                  <v:imagedata r:id="rId7" o:title=""/>
                </v:shape>
                <o:OLEObject Type="Embed" ProgID="PBrush" ShapeID="_x0000_i1025" DrawAspect="Content" ObjectID="_1597215967" r:id="rId8"/>
              </w:object>
            </w:r>
          </w:p>
        </w:tc>
        <w:tc>
          <w:tcPr>
            <w:tcW w:w="1870" w:type="dxa"/>
          </w:tcPr>
          <w:p w:rsidR="003C28C0" w:rsidRDefault="00F11FE3">
            <w:r>
              <w:object w:dxaOrig="1560" w:dyaOrig="1860">
                <v:shape id="_x0000_i1026" type="#_x0000_t75" style="width:78pt;height:93pt" o:ole="">
                  <v:imagedata r:id="rId9" o:title=""/>
                </v:shape>
                <o:OLEObject Type="Embed" ProgID="PBrush" ShapeID="_x0000_i1026" DrawAspect="Content" ObjectID="_1597215968" r:id="rId10"/>
              </w:object>
            </w:r>
          </w:p>
        </w:tc>
        <w:tc>
          <w:tcPr>
            <w:tcW w:w="1870" w:type="dxa"/>
          </w:tcPr>
          <w:p w:rsidR="003C28C0" w:rsidRDefault="00F11FE3">
            <w:r>
              <w:object w:dxaOrig="1515" w:dyaOrig="1860">
                <v:shape id="_x0000_i1027" type="#_x0000_t75" style="width:75.75pt;height:93pt" o:ole="">
                  <v:imagedata r:id="rId11" o:title=""/>
                </v:shape>
                <o:OLEObject Type="Embed" ProgID="PBrush" ShapeID="_x0000_i1027" DrawAspect="Content" ObjectID="_1597215969" r:id="rId12"/>
              </w:object>
            </w:r>
          </w:p>
        </w:tc>
        <w:tc>
          <w:tcPr>
            <w:tcW w:w="1870" w:type="dxa"/>
          </w:tcPr>
          <w:p w:rsidR="003C28C0" w:rsidRDefault="00F11FE3">
            <w:r>
              <w:object w:dxaOrig="1440" w:dyaOrig="1755">
                <v:shape id="_x0000_i1028" type="#_x0000_t75" style="width:1in;height:87.75pt" o:ole="">
                  <v:imagedata r:id="rId13" o:title=""/>
                </v:shape>
                <o:OLEObject Type="Embed" ProgID="PBrush" ShapeID="_x0000_i1028" DrawAspect="Content" ObjectID="_1597215970" r:id="rId14"/>
              </w:object>
            </w:r>
          </w:p>
        </w:tc>
        <w:tc>
          <w:tcPr>
            <w:tcW w:w="1870" w:type="dxa"/>
          </w:tcPr>
          <w:p w:rsidR="003C28C0" w:rsidRDefault="00F11FE3">
            <w:r>
              <w:object w:dxaOrig="1695" w:dyaOrig="1905">
                <v:shape id="_x0000_i1029" type="#_x0000_t75" style="width:84.75pt;height:95.25pt" o:ole="">
                  <v:imagedata r:id="rId15" o:title=""/>
                </v:shape>
                <o:OLEObject Type="Embed" ProgID="PBrush" ShapeID="_x0000_i1029" DrawAspect="Content" ObjectID="_1597215971" r:id="rId16"/>
              </w:object>
            </w:r>
          </w:p>
        </w:tc>
      </w:tr>
      <w:tr w:rsidR="003C28C0">
        <w:tc>
          <w:tcPr>
            <w:tcW w:w="1870" w:type="dxa"/>
          </w:tcPr>
          <w:p w:rsidR="003C28C0" w:rsidRDefault="00F11FE3">
            <w:r>
              <w:object w:dxaOrig="1575" w:dyaOrig="1950">
                <v:shape id="_x0000_i1030" type="#_x0000_t75" style="width:78.75pt;height:97.5pt" o:ole="">
                  <v:imagedata r:id="rId17" o:title=""/>
                </v:shape>
                <o:OLEObject Type="Embed" ProgID="PBrush" ShapeID="_x0000_i1030" DrawAspect="Content" ObjectID="_1597215972" r:id="rId18"/>
              </w:object>
            </w:r>
          </w:p>
        </w:tc>
        <w:tc>
          <w:tcPr>
            <w:tcW w:w="1870" w:type="dxa"/>
          </w:tcPr>
          <w:p w:rsidR="003C28C0" w:rsidRDefault="00F11FE3">
            <w:r>
              <w:object w:dxaOrig="1545" w:dyaOrig="1950">
                <v:shape id="_x0000_i1031" type="#_x0000_t75" style="width:75.75pt;height:95.25pt" o:ole="">
                  <v:imagedata r:id="rId19" o:title=""/>
                </v:shape>
                <o:OLEObject Type="Embed" ProgID="PBrush" ShapeID="_x0000_i1031" DrawAspect="Content" ObjectID="_1597215973" r:id="rId20"/>
              </w:object>
            </w:r>
          </w:p>
        </w:tc>
        <w:tc>
          <w:tcPr>
            <w:tcW w:w="1870" w:type="dxa"/>
          </w:tcPr>
          <w:p w:rsidR="003C28C0" w:rsidRDefault="00F11FE3">
            <w:r>
              <w:object w:dxaOrig="1590" w:dyaOrig="1860">
                <v:shape id="_x0000_i1032" type="#_x0000_t75" style="width:79.5pt;height:93pt" o:ole="">
                  <v:imagedata r:id="rId21" o:title=""/>
                </v:shape>
                <o:OLEObject Type="Embed" ProgID="PBrush" ShapeID="_x0000_i1032" DrawAspect="Content" ObjectID="_1597215974" r:id="rId22"/>
              </w:object>
            </w:r>
          </w:p>
        </w:tc>
        <w:tc>
          <w:tcPr>
            <w:tcW w:w="1870" w:type="dxa"/>
          </w:tcPr>
          <w:p w:rsidR="003C28C0" w:rsidRDefault="00F11FE3">
            <w:r>
              <w:object w:dxaOrig="1485" w:dyaOrig="1800">
                <v:shape id="_x0000_i1033" type="#_x0000_t75" style="width:74.25pt;height:90pt" o:ole="">
                  <v:imagedata r:id="rId23" o:title=""/>
                </v:shape>
                <o:OLEObject Type="Embed" ProgID="PBrush" ShapeID="_x0000_i1033" DrawAspect="Content" ObjectID="_1597215975" r:id="rId24"/>
              </w:object>
            </w:r>
          </w:p>
        </w:tc>
        <w:tc>
          <w:tcPr>
            <w:tcW w:w="1870" w:type="dxa"/>
          </w:tcPr>
          <w:p w:rsidR="003C28C0" w:rsidRDefault="003C28C0"/>
        </w:tc>
      </w:tr>
    </w:tbl>
    <w:p w:rsidR="003C28C0" w:rsidRDefault="003C28C0">
      <w:pPr>
        <w:rPr>
          <w:b/>
          <w:lang w:val="en-US"/>
        </w:rPr>
      </w:pPr>
    </w:p>
    <w:p w:rsidR="003C28C0" w:rsidRDefault="00F11FE3">
      <w:r>
        <w:rPr>
          <w:b/>
        </w:rPr>
        <w:t xml:space="preserve">Mention d'avertissement : </w:t>
      </w:r>
      <w:r>
        <w:t>Danger</w:t>
      </w:r>
    </w:p>
    <w:p w:rsidR="003C28C0" w:rsidRDefault="00F11FE3">
      <w:r>
        <w:rPr>
          <w:b/>
        </w:rPr>
        <w:t xml:space="preserve">Mentions de danger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1"/>
        <w:gridCol w:w="8505"/>
      </w:tblGrid>
      <w:tr w:rsidR="003C28C0">
        <w:trPr>
          <w:tblHeader/>
        </w:trPr>
        <w:tc>
          <w:tcPr>
            <w:tcW w:w="554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Mentions de Danger</w:t>
            </w:r>
          </w:p>
        </w:tc>
        <w:tc>
          <w:tcPr>
            <w:tcW w:w="4445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Intitulés Mentions de Danger</w:t>
            </w:r>
          </w:p>
        </w:tc>
      </w:tr>
      <w:tr w:rsidR="003C28C0"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EUH032</w:t>
            </w:r>
          </w:p>
        </w:tc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Au contact d'un acide, dégage un gaz très toxique</w:t>
            </w:r>
          </w:p>
        </w:tc>
      </w:tr>
      <w:tr w:rsidR="003C28C0"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H361fd</w:t>
            </w:r>
          </w:p>
        </w:tc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Susceptible de nuire à la fertilité. Susceptible de nuire au foetus.</w:t>
            </w:r>
          </w:p>
        </w:tc>
      </w:tr>
      <w:tr w:rsidR="003C28C0"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H332</w:t>
            </w:r>
          </w:p>
        </w:tc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Nocif par inhalation</w:t>
            </w:r>
          </w:p>
        </w:tc>
      </w:tr>
      <w:tr w:rsidR="003C28C0"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H318</w:t>
            </w:r>
          </w:p>
        </w:tc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Provoque des lésions oculaires graves</w:t>
            </w:r>
          </w:p>
        </w:tc>
      </w:tr>
      <w:tr w:rsidR="003C28C0"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H312</w:t>
            </w:r>
          </w:p>
        </w:tc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Nocif par contact cutané</w:t>
            </w:r>
          </w:p>
        </w:tc>
      </w:tr>
      <w:tr w:rsidR="003C28C0"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lastRenderedPageBreak/>
              <w:t>H302</w:t>
            </w:r>
          </w:p>
        </w:tc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Nocif en cas d'ingestion</w:t>
            </w:r>
          </w:p>
        </w:tc>
      </w:tr>
    </w:tbl>
    <w:p w:rsidR="003C28C0" w:rsidRDefault="00F11FE3">
      <w:r>
        <w:rPr>
          <w:b/>
        </w:rPr>
        <w:t>Remarques:</w:t>
      </w:r>
      <w:r>
        <w:rPr>
          <w:b/>
        </w:rPr>
        <w:tab/>
      </w:r>
    </w:p>
    <w:p w:rsidR="003C28C0" w:rsidRDefault="00F11FE3">
      <w:r>
        <w:rPr>
          <w:color w:val="000000"/>
        </w:rPr>
        <w:t xml:space="preserve">La substance </w:t>
      </w:r>
      <w:r w:rsidR="000F506F">
        <w:rPr>
          <w:color w:val="000000"/>
        </w:rPr>
        <w:t>penta borate</w:t>
      </w:r>
      <w:r>
        <w:rPr>
          <w:color w:val="000000"/>
        </w:rPr>
        <w:t xml:space="preserve"> de potassium, </w:t>
      </w:r>
      <w:r w:rsidR="000F506F">
        <w:rPr>
          <w:color w:val="000000"/>
        </w:rPr>
        <w:t>tétra hydraté</w:t>
      </w:r>
      <w:bookmarkStart w:id="0" w:name="_GoBack"/>
      <w:bookmarkEnd w:id="0"/>
      <w:r>
        <w:rPr>
          <w:color w:val="000000"/>
        </w:rPr>
        <w:t xml:space="preserve"> a été auto classifiée par le fournisseur Toxique pour la Reproduction (R2 - H361fd).</w:t>
      </w:r>
      <w:r>
        <w:br/>
      </w:r>
      <w:r>
        <w:br/>
      </w:r>
      <w:r>
        <w:rPr>
          <w:color w:val="000000"/>
        </w:rPr>
        <w:t>Tableau n° 32- Affections professionnelles provoquées par le fluor, l'acide fluorhydrique et ses sel minéraux.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098"/>
        <w:gridCol w:w="4252"/>
      </w:tblGrid>
      <w:tr w:rsidR="003C28C0">
        <w:tc>
          <w:tcPr>
            <w:tcW w:w="9350" w:type="dxa"/>
            <w:gridSpan w:val="2"/>
          </w:tcPr>
          <w:p w:rsidR="003C28C0" w:rsidRDefault="00F11FE3">
            <w:pPr>
              <w:jc w:val="center"/>
              <w:rPr>
                <w:b/>
              </w:rPr>
            </w:pPr>
            <w:r>
              <w:rPr>
                <w:b/>
              </w:rPr>
              <w:t>Classification CMR (CLP)</w:t>
            </w:r>
          </w:p>
          <w:p w:rsidR="003C28C0" w:rsidRDefault="003C28C0"/>
        </w:tc>
      </w:tr>
      <w:tr w:rsidR="003C28C0">
        <w:tc>
          <w:tcPr>
            <w:tcW w:w="5098" w:type="dxa"/>
          </w:tcPr>
          <w:p w:rsidR="003C28C0" w:rsidRDefault="00F11FE3">
            <w:r>
              <w:rPr>
                <w:b/>
              </w:rPr>
              <w:t>Cancérogène :</w:t>
            </w:r>
            <w:r>
              <w:rPr>
                <w:b/>
              </w:rPr>
              <w:tab/>
            </w:r>
            <w:r>
              <w:t>Non classé</w:t>
            </w:r>
          </w:p>
        </w:tc>
        <w:tc>
          <w:tcPr>
            <w:tcW w:w="4252" w:type="dxa"/>
          </w:tcPr>
          <w:p w:rsidR="003C28C0" w:rsidRDefault="00F11FE3">
            <w:r>
              <w:t>Non classé</w:t>
            </w:r>
          </w:p>
        </w:tc>
      </w:tr>
      <w:tr w:rsidR="003C28C0">
        <w:tc>
          <w:tcPr>
            <w:tcW w:w="5098" w:type="dxa"/>
          </w:tcPr>
          <w:p w:rsidR="003C28C0" w:rsidRDefault="00F11FE3">
            <w:r>
              <w:rPr>
                <w:b/>
              </w:rPr>
              <w:t>Mutagène :</w:t>
            </w:r>
            <w:r>
              <w:rPr>
                <w:b/>
              </w:rPr>
              <w:tab/>
            </w:r>
            <w:r>
              <w:t>Non Classé</w:t>
            </w:r>
          </w:p>
        </w:tc>
        <w:tc>
          <w:tcPr>
            <w:tcW w:w="4252" w:type="dxa"/>
          </w:tcPr>
          <w:p w:rsidR="003C28C0" w:rsidRDefault="00F11FE3">
            <w:r>
              <w:t>Non classé</w:t>
            </w:r>
          </w:p>
        </w:tc>
      </w:tr>
      <w:tr w:rsidR="003C28C0">
        <w:tc>
          <w:tcPr>
            <w:tcW w:w="5098" w:type="dxa"/>
          </w:tcPr>
          <w:p w:rsidR="003C28C0" w:rsidRDefault="00F11FE3">
            <w:r>
              <w:rPr>
                <w:b/>
              </w:rPr>
              <w:t>Toxique pour la reproduction :</w:t>
            </w:r>
            <w:r>
              <w:rPr>
                <w:b/>
              </w:rPr>
              <w:tab/>
            </w:r>
            <w:r>
              <w:t>R2</w:t>
            </w:r>
          </w:p>
        </w:tc>
        <w:tc>
          <w:tcPr>
            <w:tcW w:w="4252" w:type="dxa"/>
          </w:tcPr>
          <w:p w:rsidR="003C28C0" w:rsidRDefault="00F11FE3">
            <w:r>
              <w:t>Effet reprotoxique suspecté pour l’Homme</w:t>
            </w:r>
          </w:p>
        </w:tc>
      </w:tr>
    </w:tbl>
    <w:p w:rsidR="003C28C0" w:rsidRDefault="00C5336D">
      <w:pPr>
        <w:rPr>
          <w:b/>
        </w:rPr>
      </w:pPr>
      <w:r>
        <w:rPr>
          <w:b/>
          <w:noProof/>
        </w:rPr>
        <w:pict>
          <v:rect id="Rectangle 4" o:spid="_x0000_s1028" style="position:absolute;margin-left:-62.8pt;margin-top:17.55pt;width:594.7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3C28C0" w:rsidRDefault="00F11FE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Propriétés physico-chimiques</w:t>
                  </w:r>
                </w:p>
              </w:txbxContent>
            </v:textbox>
          </v:rect>
        </w:pict>
      </w:r>
    </w:p>
    <w:p w:rsidR="003C28C0" w:rsidRDefault="003C28C0">
      <w:pPr>
        <w:rPr>
          <w:b/>
        </w:rPr>
      </w:pPr>
    </w:p>
    <w:p w:rsidR="003C28C0" w:rsidRDefault="00F11FE3">
      <w:pPr>
        <w:spacing w:after="0"/>
      </w:pPr>
      <w:r>
        <w:rPr>
          <w:b/>
        </w:rPr>
        <w:t>Etat physique :</w:t>
      </w:r>
      <w:r>
        <w:rPr>
          <w:b/>
        </w:rPr>
        <w:tab/>
      </w:r>
      <w:r>
        <w:t>Poudre ou grains (sucre cristallisé...)</w:t>
      </w:r>
    </w:p>
    <w:p w:rsidR="003C28C0" w:rsidRDefault="00F11FE3">
      <w:pPr>
        <w:spacing w:after="0"/>
      </w:pPr>
      <w:r>
        <w:rPr>
          <w:b/>
        </w:rPr>
        <w:t>Point éclair °C :</w:t>
      </w:r>
      <w:r>
        <w:rPr>
          <w:b/>
        </w:rPr>
        <w:tab/>
      </w:r>
    </w:p>
    <w:p w:rsidR="003C28C0" w:rsidRDefault="00F11FE3">
      <w:pPr>
        <w:spacing w:after="0"/>
      </w:pPr>
      <w:r>
        <w:rPr>
          <w:b/>
        </w:rPr>
        <w:t xml:space="preserve">Point d’ébullition °C : </w:t>
      </w:r>
    </w:p>
    <w:p w:rsidR="003C28C0" w:rsidRDefault="00F11FE3">
      <w:pPr>
        <w:spacing w:after="0"/>
      </w:pPr>
      <w:r>
        <w:rPr>
          <w:b/>
        </w:rPr>
        <w:t xml:space="preserve">Pression de vapeur à 20°C : </w:t>
      </w:r>
      <w:r>
        <w:t xml:space="preserve">0 Pa  </w:t>
      </w:r>
    </w:p>
    <w:p w:rsidR="003C28C0" w:rsidRDefault="00F11FE3">
      <w:pPr>
        <w:spacing w:after="0"/>
      </w:pPr>
      <w:r>
        <w:rPr>
          <w:b/>
        </w:rPr>
        <w:t xml:space="preserve">pH : </w:t>
      </w:r>
      <w:r>
        <w:t xml:space="preserve">  </w:t>
      </w:r>
    </w:p>
    <w:p w:rsidR="003C28C0" w:rsidRDefault="00F11FE3">
      <w:pPr>
        <w:spacing w:after="0"/>
      </w:pPr>
      <w:r>
        <w:rPr>
          <w:b/>
        </w:rPr>
        <w:t xml:space="preserve">Solubilité : </w:t>
      </w:r>
      <w:r>
        <w:t>Soluble dans l'eau.</w:t>
      </w:r>
    </w:p>
    <w:p w:rsidR="003C28C0" w:rsidRDefault="003C28C0">
      <w:pPr>
        <w:spacing w:after="0"/>
      </w:pPr>
    </w:p>
    <w:tbl>
      <w:tblPr>
        <w:tblStyle w:val="Trameclaire-Accent1"/>
        <w:tblpPr w:leftFromText="141" w:rightFromText="141" w:vertAnchor="text" w:horzAnchor="margin" w:tblpXSpec="center" w:tblpY="149"/>
        <w:tblW w:w="0" w:type="auto"/>
        <w:tblLook w:val="04A0" w:firstRow="1" w:lastRow="0" w:firstColumn="1" w:lastColumn="0" w:noHBand="0" w:noVBand="1"/>
      </w:tblPr>
      <w:tblGrid>
        <w:gridCol w:w="3166"/>
        <w:gridCol w:w="3167"/>
        <w:gridCol w:w="3167"/>
      </w:tblGrid>
      <w:tr w:rsidR="003C28C0" w:rsidTr="003C28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66" w:type="dxa"/>
          </w:tcPr>
          <w:p w:rsidR="003C28C0" w:rsidRDefault="00F11FE3">
            <w:r>
              <w:t>Stabilité</w:t>
            </w:r>
          </w:p>
        </w:tc>
        <w:tc>
          <w:tcPr>
            <w:tcW w:w="3167" w:type="dxa"/>
          </w:tcPr>
          <w:p w:rsidR="003C28C0" w:rsidRDefault="00F11F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Incompatibilité</w:t>
            </w:r>
          </w:p>
        </w:tc>
        <w:tc>
          <w:tcPr>
            <w:tcW w:w="3167" w:type="dxa"/>
          </w:tcPr>
          <w:p w:rsidR="003C28C0" w:rsidRDefault="00F11F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Décomposition</w:t>
            </w:r>
          </w:p>
        </w:tc>
      </w:tr>
      <w:tr w:rsidR="003C28C0" w:rsidTr="003C28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66" w:type="dxa"/>
          </w:tcPr>
          <w:p w:rsidR="003C28C0" w:rsidRDefault="00F11FE3">
            <w:pPr>
              <w:jc w:val="both"/>
              <w:rPr>
                <w:b w:val="0"/>
              </w:rPr>
            </w:pPr>
            <w:r>
              <w:rPr>
                <w:b w:val="0"/>
              </w:rPr>
              <w:t>Stable dans des conditions normales.</w:t>
            </w:r>
          </w:p>
        </w:tc>
        <w:tc>
          <w:tcPr>
            <w:tcW w:w="3167" w:type="dxa"/>
          </w:tcPr>
          <w:p w:rsidR="003C28C0" w:rsidRDefault="00F11FE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Acides forts.</w:t>
            </w:r>
          </w:p>
          <w:p w:rsidR="003C28C0" w:rsidRDefault="003C28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3167" w:type="dxa"/>
          </w:tcPr>
          <w:p w:rsidR="003C28C0" w:rsidRDefault="00F11FE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Le contact avec les acides forts libère de l'acide fluorhydrique.</w:t>
            </w:r>
          </w:p>
          <w:p w:rsidR="003C28C0" w:rsidRDefault="003C28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</w:tbl>
    <w:p w:rsidR="003C28C0" w:rsidRDefault="003C28C0">
      <w:pPr>
        <w:spacing w:after="0"/>
      </w:pPr>
    </w:p>
    <w:p w:rsidR="003C28C0" w:rsidRDefault="003C28C0">
      <w:pPr>
        <w:spacing w:after="0"/>
      </w:pPr>
    </w:p>
    <w:p w:rsidR="003C28C0" w:rsidRDefault="00C5336D">
      <w:pPr>
        <w:spacing w:after="0"/>
      </w:pPr>
      <w:r>
        <w:rPr>
          <w:b/>
          <w:noProof/>
        </w:rPr>
        <w:pict>
          <v:rect id="Rectangle 3" o:spid="_x0000_s1029" style="position:absolute;margin-left:-58.55pt;margin-top:11pt;width:594.7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3C28C0" w:rsidRDefault="00F11FE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Informations sur les composants</w:t>
                  </w:r>
                </w:p>
              </w:txbxContent>
            </v:textbox>
          </v:rect>
        </w:pict>
      </w:r>
    </w:p>
    <w:p w:rsidR="003C28C0" w:rsidRDefault="003C28C0">
      <w:pPr>
        <w:spacing w:after="0"/>
      </w:pPr>
    </w:p>
    <w:p w:rsidR="003C28C0" w:rsidRDefault="003C28C0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3"/>
        <w:gridCol w:w="435"/>
        <w:gridCol w:w="834"/>
        <w:gridCol w:w="912"/>
        <w:gridCol w:w="913"/>
        <w:gridCol w:w="997"/>
        <w:gridCol w:w="681"/>
        <w:gridCol w:w="681"/>
        <w:gridCol w:w="854"/>
        <w:gridCol w:w="717"/>
        <w:gridCol w:w="877"/>
        <w:gridCol w:w="852"/>
      </w:tblGrid>
      <w:tr w:rsidR="003C28C0">
        <w:trPr>
          <w:tblHeader/>
        </w:trPr>
        <w:tc>
          <w:tcPr>
            <w:tcW w:w="576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&lt;b&gt;N° CAS&lt;/b&gt;</w:t>
            </w:r>
          </w:p>
        </w:tc>
        <w:tc>
          <w:tcPr>
            <w:tcW w:w="276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N° CE</w:t>
            </w:r>
          </w:p>
        </w:tc>
        <w:tc>
          <w:tcPr>
            <w:tcW w:w="1060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Nom de la substance</w:t>
            </w:r>
          </w:p>
        </w:tc>
        <w:tc>
          <w:tcPr>
            <w:tcW w:w="379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Concentration (%)</w:t>
            </w:r>
          </w:p>
        </w:tc>
        <w:tc>
          <w:tcPr>
            <w:tcW w:w="374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Pictogrammes</w:t>
            </w:r>
          </w:p>
        </w:tc>
        <w:tc>
          <w:tcPr>
            <w:tcW w:w="424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Mention d'avertissement</w:t>
            </w:r>
          </w:p>
        </w:tc>
        <w:tc>
          <w:tcPr>
            <w:tcW w:w="305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Mentions de danger</w:t>
            </w:r>
          </w:p>
        </w:tc>
        <w:tc>
          <w:tcPr>
            <w:tcW w:w="256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Mentions de Prudence</w:t>
            </w:r>
          </w:p>
        </w:tc>
        <w:tc>
          <w:tcPr>
            <w:tcW w:w="355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Cancérogène</w:t>
            </w:r>
          </w:p>
        </w:tc>
        <w:tc>
          <w:tcPr>
            <w:tcW w:w="305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Mutagène</w:t>
            </w:r>
          </w:p>
        </w:tc>
        <w:tc>
          <w:tcPr>
            <w:tcW w:w="359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Reprotoxique</w:t>
            </w:r>
          </w:p>
        </w:tc>
        <w:tc>
          <w:tcPr>
            <w:tcW w:w="325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Classification CIRC</w:t>
            </w:r>
          </w:p>
        </w:tc>
      </w:tr>
      <w:tr w:rsidR="003C28C0"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lastRenderedPageBreak/>
              <w:t>12229-13-9*SDS05195</w:t>
            </w:r>
          </w:p>
        </w:tc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234-371-7</w:t>
            </w:r>
          </w:p>
        </w:tc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pentaborate de potassium, tétrahydraté</w:t>
            </w:r>
          </w:p>
        </w:tc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10-50</w:t>
            </w:r>
          </w:p>
        </w:tc>
        <w:tc>
          <w:tcPr>
            <w:tcW w:w="0" w:type="auto"/>
            <w:shd w:val="clear" w:color="auto" w:fill="FFFF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FFF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H361fd</w:t>
            </w:r>
          </w:p>
        </w:tc>
        <w:tc>
          <w:tcPr>
            <w:tcW w:w="0" w:type="auto"/>
            <w:shd w:val="clear" w:color="auto" w:fill="FFFF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Non classé</w:t>
            </w:r>
          </w:p>
        </w:tc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Non Classé</w:t>
            </w:r>
          </w:p>
        </w:tc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Non classé</w:t>
            </w:r>
          </w:p>
        </w:tc>
        <w:tc>
          <w:tcPr>
            <w:tcW w:w="0" w:type="auto"/>
            <w:shd w:val="clear" w:color="auto" w:fill="FFFFFF"/>
          </w:tcPr>
          <w:p w:rsidR="003C28C0" w:rsidRDefault="003C28C0">
            <w:pPr>
              <w:spacing w:afterAutospacing="1"/>
            </w:pPr>
          </w:p>
        </w:tc>
      </w:tr>
      <w:tr w:rsidR="003C28C0"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7789-23-3*SDS05195</w:t>
            </w:r>
          </w:p>
        </w:tc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232-151-5</w:t>
            </w:r>
          </w:p>
        </w:tc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potassium fluoride</w:t>
            </w:r>
          </w:p>
        </w:tc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10-25</w:t>
            </w:r>
          </w:p>
        </w:tc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SGH06</w:t>
            </w:r>
          </w:p>
        </w:tc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Danger</w:t>
            </w:r>
          </w:p>
        </w:tc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H301 H311 H318 H331</w:t>
            </w:r>
          </w:p>
        </w:tc>
        <w:tc>
          <w:tcPr>
            <w:tcW w:w="0" w:type="auto"/>
            <w:shd w:val="clear" w:color="auto" w:fill="FAFA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Non classé</w:t>
            </w:r>
          </w:p>
        </w:tc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Non Classé</w:t>
            </w:r>
          </w:p>
        </w:tc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Non classé</w:t>
            </w:r>
          </w:p>
        </w:tc>
        <w:tc>
          <w:tcPr>
            <w:tcW w:w="0" w:type="auto"/>
            <w:shd w:val="clear" w:color="auto" w:fill="FAFAFF"/>
          </w:tcPr>
          <w:p w:rsidR="003C28C0" w:rsidRDefault="003C28C0">
            <w:pPr>
              <w:spacing w:afterAutospacing="1"/>
            </w:pPr>
          </w:p>
        </w:tc>
      </w:tr>
    </w:tbl>
    <w:p w:rsidR="003C28C0" w:rsidRDefault="003C28C0">
      <w:pPr>
        <w:jc w:val="center"/>
      </w:pPr>
    </w:p>
    <w:p w:rsidR="003C28C0" w:rsidRDefault="00C5336D">
      <w:pPr>
        <w:rPr>
          <w:b/>
        </w:rPr>
      </w:pPr>
      <w:r>
        <w:rPr>
          <w:b/>
          <w:noProof/>
        </w:rPr>
        <w:pict>
          <v:rect id="Rectangle 5" o:spid="_x0000_s1030" style="position:absolute;margin-left:-64.55pt;margin-top:22.75pt;width:594.7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3C28C0" w:rsidRDefault="00F11FE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Propriétés toxicologiques</w:t>
                  </w:r>
                </w:p>
              </w:txbxContent>
            </v:textbox>
          </v:rect>
        </w:pict>
      </w:r>
    </w:p>
    <w:p w:rsidR="003C28C0" w:rsidRDefault="003C28C0">
      <w:pPr>
        <w:rPr>
          <w:b/>
        </w:rPr>
      </w:pPr>
    </w:p>
    <w:p w:rsidR="003C28C0" w:rsidRDefault="003C28C0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2"/>
        <w:gridCol w:w="575"/>
        <w:gridCol w:w="1229"/>
        <w:gridCol w:w="1194"/>
        <w:gridCol w:w="1331"/>
        <w:gridCol w:w="581"/>
        <w:gridCol w:w="608"/>
        <w:gridCol w:w="732"/>
        <w:gridCol w:w="610"/>
        <w:gridCol w:w="732"/>
        <w:gridCol w:w="772"/>
      </w:tblGrid>
      <w:tr w:rsidR="003C28C0">
        <w:trPr>
          <w:tblHeader/>
        </w:trPr>
        <w:tc>
          <w:tcPr>
            <w:tcW w:w="922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&lt;b&gt;N° CAS&lt;/b&gt;</w:t>
            </w:r>
          </w:p>
        </w:tc>
        <w:tc>
          <w:tcPr>
            <w:tcW w:w="441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N° CE</w:t>
            </w:r>
          </w:p>
        </w:tc>
        <w:tc>
          <w:tcPr>
            <w:tcW w:w="1845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Nom de la substance</w:t>
            </w:r>
          </w:p>
        </w:tc>
        <w:tc>
          <w:tcPr>
            <w:tcW w:w="488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Caractère sensibilisant</w:t>
            </w:r>
          </w:p>
        </w:tc>
        <w:tc>
          <w:tcPr>
            <w:tcW w:w="0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Perturbateurs Endocriniens</w:t>
            </w:r>
          </w:p>
        </w:tc>
        <w:tc>
          <w:tcPr>
            <w:tcW w:w="189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TMP n°</w:t>
            </w:r>
          </w:p>
        </w:tc>
        <w:tc>
          <w:tcPr>
            <w:tcW w:w="220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VLEP 8h ppm</w:t>
            </w:r>
          </w:p>
        </w:tc>
        <w:tc>
          <w:tcPr>
            <w:tcW w:w="331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VLEP 8h mg.m-3</w:t>
            </w:r>
          </w:p>
        </w:tc>
        <w:tc>
          <w:tcPr>
            <w:tcW w:w="228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VLCT ppm</w:t>
            </w:r>
          </w:p>
        </w:tc>
        <w:tc>
          <w:tcPr>
            <w:tcW w:w="331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VLCT mg.m-3</w:t>
            </w:r>
          </w:p>
        </w:tc>
        <w:tc>
          <w:tcPr>
            <w:tcW w:w="0" w:type="pct"/>
            <w:shd w:val="clear" w:color="auto" w:fill="D7E8FD"/>
          </w:tcPr>
          <w:p w:rsidR="003C28C0" w:rsidRDefault="00F11FE3">
            <w:pPr>
              <w:spacing w:afterAutospacing="1"/>
            </w:pPr>
            <w:r>
              <w:t>Nature de la VLEP</w:t>
            </w:r>
          </w:p>
        </w:tc>
      </w:tr>
      <w:tr w:rsidR="003C28C0"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12229-13-9*SDS05195</w:t>
            </w:r>
          </w:p>
        </w:tc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234-371-7</w:t>
            </w:r>
          </w:p>
        </w:tc>
        <w:tc>
          <w:tcPr>
            <w:tcW w:w="0" w:type="auto"/>
            <w:shd w:val="clear" w:color="auto" w:fill="FFFFFF"/>
          </w:tcPr>
          <w:p w:rsidR="003C28C0" w:rsidRDefault="00F11FE3">
            <w:pPr>
              <w:spacing w:afterAutospacing="1"/>
            </w:pPr>
            <w:r>
              <w:t>pentaborate de potassium, tétrahydraté</w:t>
            </w:r>
          </w:p>
        </w:tc>
        <w:tc>
          <w:tcPr>
            <w:tcW w:w="0" w:type="auto"/>
            <w:shd w:val="clear" w:color="auto" w:fill="FFFF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FFF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FFF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FFF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FFF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FFF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FFF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FFFFF"/>
          </w:tcPr>
          <w:p w:rsidR="003C28C0" w:rsidRDefault="003C28C0">
            <w:pPr>
              <w:spacing w:afterAutospacing="1"/>
            </w:pPr>
          </w:p>
        </w:tc>
      </w:tr>
      <w:tr w:rsidR="003C28C0"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7789-23-3*SDS05195</w:t>
            </w:r>
          </w:p>
        </w:tc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232-151-5</w:t>
            </w:r>
          </w:p>
        </w:tc>
        <w:tc>
          <w:tcPr>
            <w:tcW w:w="0" w:type="auto"/>
            <w:shd w:val="clear" w:color="auto" w:fill="FAFAFF"/>
          </w:tcPr>
          <w:p w:rsidR="003C28C0" w:rsidRDefault="00F11FE3">
            <w:pPr>
              <w:spacing w:afterAutospacing="1"/>
            </w:pPr>
            <w:r>
              <w:t>potassium fluoride</w:t>
            </w:r>
          </w:p>
        </w:tc>
        <w:tc>
          <w:tcPr>
            <w:tcW w:w="0" w:type="auto"/>
            <w:shd w:val="clear" w:color="auto" w:fill="FAFA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AFA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AFA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AFA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AFA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AFA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AFAFF"/>
          </w:tcPr>
          <w:p w:rsidR="003C28C0" w:rsidRDefault="003C28C0">
            <w:pPr>
              <w:spacing w:afterAutospacing="1"/>
            </w:pPr>
          </w:p>
        </w:tc>
        <w:tc>
          <w:tcPr>
            <w:tcW w:w="0" w:type="auto"/>
            <w:shd w:val="clear" w:color="auto" w:fill="FAFAFF"/>
          </w:tcPr>
          <w:p w:rsidR="003C28C0" w:rsidRDefault="003C28C0">
            <w:pPr>
              <w:spacing w:afterAutospacing="1"/>
            </w:pPr>
          </w:p>
        </w:tc>
      </w:tr>
    </w:tbl>
    <w:p w:rsidR="003C28C0" w:rsidRDefault="00F11FE3">
      <w:pPr>
        <w:rPr>
          <w:b/>
        </w:rPr>
      </w:pPr>
      <w:r>
        <w:rPr>
          <w:b/>
        </w:rPr>
        <w:t>Commentaires :</w:t>
      </w:r>
    </w:p>
    <w:p w:rsidR="003C28C0" w:rsidRDefault="00F11FE3">
      <w:r>
        <w:rPr>
          <w:color w:val="000000"/>
        </w:rPr>
        <w:lastRenderedPageBreak/>
        <w:t xml:space="preserve">La substance </w:t>
      </w:r>
      <w:r w:rsidR="00EC6A38">
        <w:rPr>
          <w:color w:val="000000"/>
        </w:rPr>
        <w:t>penta borate</w:t>
      </w:r>
      <w:r>
        <w:rPr>
          <w:color w:val="000000"/>
        </w:rPr>
        <w:t xml:space="preserve"> de potassium, </w:t>
      </w:r>
      <w:r w:rsidR="00EC6A38">
        <w:rPr>
          <w:color w:val="000000"/>
        </w:rPr>
        <w:t>tétra hydraté</w:t>
      </w:r>
      <w:r>
        <w:rPr>
          <w:color w:val="000000"/>
        </w:rPr>
        <w:t xml:space="preserve"> est auto classifiée par le fournisseur Toxique pour la Reproduction (R2 - H361fd : susceptible de nuire à la fertilité. Susceptible de nuire au foetus). Non classée par l'ECHA à la date du 04/06/2018.</w:t>
      </w:r>
      <w:r>
        <w:br/>
      </w:r>
      <w:r>
        <w:br/>
      </w:r>
      <w:r>
        <w:rPr>
          <w:color w:val="000000"/>
        </w:rPr>
        <w:t>Risque d'irritation du système respiratoire par inhalation prolongée de fumées pendant l'opération de brasage/soudobrasage.</w:t>
      </w:r>
      <w:r>
        <w:br/>
      </w:r>
      <w:r>
        <w:rPr>
          <w:color w:val="000000"/>
        </w:rPr>
        <w:t>L'inhalation des vapeurs et des aérosols se dégageant pendant le brasage/le soudage peut causer la fièvre des fondeurs. Les symptômes de la fièvre des fondeurs ne se manifestent qu'après 4 à 12 heures. ( maux de tête, étourdissement, sécheresse, toux, nausées et fièvre).</w:t>
      </w:r>
      <w:r>
        <w:br/>
      </w:r>
      <w:r>
        <w:rPr>
          <w:color w:val="000000"/>
        </w:rPr>
        <w:t>Risque de fluorose.</w:t>
      </w:r>
    </w:p>
    <w:p w:rsidR="003C28C0" w:rsidRDefault="00C5336D">
      <w:pPr>
        <w:rPr>
          <w:b/>
        </w:rPr>
      </w:pPr>
      <w:r>
        <w:rPr>
          <w:b/>
          <w:noProof/>
        </w:rPr>
        <w:pict>
          <v:rect id="Rectangle 6" o:spid="_x0000_s1031" style="position:absolute;margin-left:-64.55pt;margin-top:15.75pt;width:594.75pt;height:2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3C28C0" w:rsidRDefault="00F11FE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Prévention</w:t>
                  </w:r>
                </w:p>
              </w:txbxContent>
            </v:textbox>
          </v:rect>
        </w:pict>
      </w:r>
    </w:p>
    <w:p w:rsidR="003C28C0" w:rsidRDefault="003C28C0">
      <w:pPr>
        <w:rPr>
          <w:b/>
        </w:rPr>
      </w:pPr>
    </w:p>
    <w:p w:rsidR="003C28C0" w:rsidRDefault="00F11FE3">
      <w:pPr>
        <w:spacing w:after="0"/>
      </w:pPr>
      <w:r>
        <w:rPr>
          <w:b/>
        </w:rPr>
        <w:t xml:space="preserve">Substitution : </w:t>
      </w:r>
    </w:p>
    <w:p w:rsidR="003C28C0" w:rsidRDefault="003C28C0">
      <w:pPr>
        <w:spacing w:after="0"/>
        <w:rPr>
          <w:b/>
        </w:rPr>
      </w:pPr>
    </w:p>
    <w:p w:rsidR="003C28C0" w:rsidRDefault="00F11FE3">
      <w:pPr>
        <w:spacing w:after="0"/>
      </w:pPr>
      <w:r>
        <w:rPr>
          <w:b/>
        </w:rPr>
        <w:t>Equipements de Protection Collective :</w:t>
      </w:r>
      <w:r>
        <w:rPr>
          <w:b/>
        </w:rPr>
        <w:tab/>
        <w:t xml:space="preserve"> </w:t>
      </w:r>
    </w:p>
    <w:p w:rsidR="003C28C0" w:rsidRDefault="00F11FE3">
      <w:r>
        <w:rPr>
          <w:color w:val="000000"/>
        </w:rPr>
        <w:t>Prévoir une ventilation et une évacuation appropriées au niveau des équipements et des endroits où la poussière ou des fumées peuvent se former.</w:t>
      </w:r>
    </w:p>
    <w:p w:rsidR="003C28C0" w:rsidRDefault="003C28C0">
      <w:pPr>
        <w:spacing w:after="0"/>
        <w:rPr>
          <w:b/>
        </w:rPr>
      </w:pPr>
    </w:p>
    <w:p w:rsidR="003C28C0" w:rsidRDefault="00F11FE3">
      <w:pPr>
        <w:spacing w:after="0"/>
      </w:pPr>
      <w:r>
        <w:rPr>
          <w:b/>
        </w:rPr>
        <w:t xml:space="preserve">Equipements de Protection Individuelle : </w:t>
      </w:r>
    </w:p>
    <w:p w:rsidR="003C28C0" w:rsidRDefault="00F11FE3">
      <w:r>
        <w:rPr>
          <w:color w:val="000000"/>
        </w:rPr>
        <w:t>[Stéphanie Chaumet 04 06 2018 16:31]</w:t>
      </w:r>
    </w:p>
    <w:p w:rsidR="003C28C0" w:rsidRDefault="00F11FE3">
      <w:r>
        <w:rPr>
          <w:color w:val="000000"/>
        </w:rPr>
        <w:t>- Lunettes avec protection latérale (EN 166).</w:t>
      </w:r>
      <w:r>
        <w:br/>
      </w:r>
      <w:r>
        <w:rPr>
          <w:color w:val="000000"/>
        </w:rPr>
        <w:t>- Gants de protection pour soudeurs ((NF-EN 407)).</w:t>
      </w:r>
      <w:r>
        <w:br/>
      </w:r>
      <w:r>
        <w:rPr>
          <w:color w:val="000000"/>
        </w:rPr>
        <w:t>- Gants contre risques chimiques en polychloroprène avec une épaisseur minimum de 0,6mm, temps de perméation (durée d’utilisation) d’environ 480 minutes.</w:t>
      </w:r>
      <w:r>
        <w:br/>
      </w:r>
      <w:r>
        <w:rPr>
          <w:color w:val="000000"/>
        </w:rPr>
        <w:t>- Si ventilation insuffisante, porter un appareil respiratoire approprié (filtre à combinaison multiple ABEK/P3).</w:t>
      </w:r>
    </w:p>
    <w:sectPr w:rsidR="003C28C0">
      <w:headerReference w:type="default" r:id="rId25"/>
      <w:pgSz w:w="12240" w:h="15840" w:code="1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36D" w:rsidRDefault="00C5336D" w:rsidP="0070265B">
      <w:pPr>
        <w:spacing w:after="0" w:line="240" w:lineRule="auto"/>
      </w:pPr>
      <w:r>
        <w:separator/>
      </w:r>
    </w:p>
  </w:endnote>
  <w:endnote w:type="continuationSeparator" w:id="0">
    <w:p w:rsidR="00C5336D" w:rsidRDefault="00C5336D" w:rsidP="00702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36D" w:rsidRDefault="00C5336D" w:rsidP="0070265B">
      <w:pPr>
        <w:spacing w:after="0" w:line="240" w:lineRule="auto"/>
      </w:pPr>
      <w:r>
        <w:separator/>
      </w:r>
    </w:p>
  </w:footnote>
  <w:footnote w:type="continuationSeparator" w:id="0">
    <w:p w:rsidR="00C5336D" w:rsidRDefault="00C5336D" w:rsidP="00702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65B" w:rsidRDefault="00C5336D">
    <w:pPr>
      <w:pStyle w:val="En-tte"/>
    </w:pPr>
    <w:sdt>
      <w:sdtPr>
        <w:rPr>
          <w:rFonts w:asciiTheme="majorHAnsi" w:eastAsiaTheme="majorEastAsia" w:hAnsiTheme="majorHAnsi" w:cstheme="majorBidi"/>
          <w:color w:val="4F81BD" w:themeColor="accent1"/>
          <w:sz w:val="24"/>
        </w:rPr>
        <w:alias w:val="Titre"/>
        <w:id w:val="78404852"/>
        <w:placeholder>
          <w:docPart w:val="142673C8B5DA4C2AB42EA0943203D3BE"/>
        </w:placeholder>
        <w:showingPlcHdr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70265B">
          <w:rPr>
            <w:rFonts w:asciiTheme="majorHAnsi" w:eastAsiaTheme="majorEastAsia" w:hAnsiTheme="majorHAnsi" w:cstheme="majorBidi"/>
            <w:color w:val="4F81BD" w:themeColor="accent1"/>
            <w:sz w:val="24"/>
          </w:rPr>
          <w:t>[Titre du document]</w:t>
        </w:r>
      </w:sdtContent>
    </w:sdt>
    <w:r w:rsidR="0070265B">
      <w:rPr>
        <w:rFonts w:asciiTheme="majorHAnsi" w:eastAsiaTheme="majorEastAsia" w:hAnsiTheme="majorHAnsi" w:cstheme="majorBidi"/>
        <w:color w:val="4F81BD" w:themeColor="accent1"/>
        <w:sz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4F81BD" w:themeColor="accent1"/>
          <w:sz w:val="24"/>
        </w:rPr>
        <w:alias w:val="Date "/>
        <w:id w:val="78404859"/>
        <w:placeholder>
          <w:docPart w:val="8209DE6C818D4AF8AE06F1CF09996428"/>
        </w:placeholder>
        <w:showingPlcHdr/>
        <w:dataBinding w:prefixMappings="xmlns:ns0='http://schemas.microsoft.com/office/2006/coverPageProps'" w:xpath="/ns0:CoverPageProperties[1]/ns0:PublishDate[1]" w:storeItemID="{55AF091B-3C7A-41E3-B477-F2FDAA23CFDA}"/>
        <w:date>
          <w:dateFormat w:val="dd MMMM yyyy"/>
          <w:lid w:val="fr-FR"/>
          <w:storeMappedDataAs w:val="dateTime"/>
          <w:calendar w:val="gregorian"/>
        </w:date>
      </w:sdtPr>
      <w:sdtEndPr/>
      <w:sdtContent>
        <w:r w:rsidR="0070265B">
          <w:rPr>
            <w:rFonts w:asciiTheme="majorHAnsi" w:eastAsiaTheme="majorEastAsia" w:hAnsiTheme="majorHAnsi" w:cstheme="majorBidi"/>
            <w:color w:val="4F81BD" w:themeColor="accent1"/>
            <w:sz w:val="24"/>
          </w:rPr>
          <w:t>[Choisir la date]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860C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4373"/>
    <w:rsid w:val="000134CD"/>
    <w:rsid w:val="00055C0F"/>
    <w:rsid w:val="000D2DD6"/>
    <w:rsid w:val="000F506F"/>
    <w:rsid w:val="00133E6A"/>
    <w:rsid w:val="00145B68"/>
    <w:rsid w:val="001A1C02"/>
    <w:rsid w:val="00276CC0"/>
    <w:rsid w:val="002B3D18"/>
    <w:rsid w:val="002C0B78"/>
    <w:rsid w:val="002D0D4D"/>
    <w:rsid w:val="003C28C0"/>
    <w:rsid w:val="00411226"/>
    <w:rsid w:val="00426731"/>
    <w:rsid w:val="0048684E"/>
    <w:rsid w:val="004F04C6"/>
    <w:rsid w:val="0050063F"/>
    <w:rsid w:val="0057549B"/>
    <w:rsid w:val="005B788E"/>
    <w:rsid w:val="005F7310"/>
    <w:rsid w:val="006637CF"/>
    <w:rsid w:val="006A4D04"/>
    <w:rsid w:val="006B6CA6"/>
    <w:rsid w:val="006E7086"/>
    <w:rsid w:val="0070265B"/>
    <w:rsid w:val="00746BC1"/>
    <w:rsid w:val="007572D5"/>
    <w:rsid w:val="00861159"/>
    <w:rsid w:val="0088350D"/>
    <w:rsid w:val="00884132"/>
    <w:rsid w:val="008C6575"/>
    <w:rsid w:val="008E45B2"/>
    <w:rsid w:val="009332B6"/>
    <w:rsid w:val="00966089"/>
    <w:rsid w:val="009C39E8"/>
    <w:rsid w:val="009C7F07"/>
    <w:rsid w:val="00AB2757"/>
    <w:rsid w:val="00AB78BC"/>
    <w:rsid w:val="00AD5101"/>
    <w:rsid w:val="00AE3ED2"/>
    <w:rsid w:val="00AF0DD9"/>
    <w:rsid w:val="00B2757C"/>
    <w:rsid w:val="00B75890"/>
    <w:rsid w:val="00C13E96"/>
    <w:rsid w:val="00C51640"/>
    <w:rsid w:val="00C5336D"/>
    <w:rsid w:val="00C610C6"/>
    <w:rsid w:val="00CA66A0"/>
    <w:rsid w:val="00D14E87"/>
    <w:rsid w:val="00D40ADC"/>
    <w:rsid w:val="00D71FFE"/>
    <w:rsid w:val="00D74B11"/>
    <w:rsid w:val="00DA4373"/>
    <w:rsid w:val="00DB1868"/>
    <w:rsid w:val="00E30FC6"/>
    <w:rsid w:val="00E6629F"/>
    <w:rsid w:val="00EC6A38"/>
    <w:rsid w:val="00F11FE3"/>
    <w:rsid w:val="00F41A71"/>
    <w:rsid w:val="00FA678F"/>
    <w:rsid w:val="00FD23F7"/>
    <w:rsid w:val="00FF53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1504EC50-020F-41AD-B093-2DA3872F9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 w:uiPriority="60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</w:style>
  <w:style w:type="character" w:customStyle="1" w:styleId="Titre1Car">
    <w:name w:val="Titre 1 Car"/>
    <w:basedOn w:val="Policepardfaut"/>
    <w:link w:val="Titre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4Car">
    <w:name w:val="Titre 4 Car"/>
    <w:basedOn w:val="Policepardfaut"/>
    <w:link w:val="Titre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traitnormal">
    <w:name w:val="Normal Indent"/>
    <w:basedOn w:val="Normal"/>
    <w:uiPriority w:val="99"/>
    <w:unhideWhenUsed/>
    <w:pPr>
      <w:ind w:left="720"/>
    </w:pPr>
  </w:style>
  <w:style w:type="paragraph" w:styleId="Sous-titre">
    <w:name w:val="Subtitle"/>
    <w:basedOn w:val="Normal"/>
    <w:next w:val="Normal"/>
    <w:link w:val="Sous-titreCar"/>
    <w:uiPriority w:val="11"/>
    <w:qFormat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re">
    <w:name w:val="Title"/>
    <w:basedOn w:val="Normal"/>
    <w:next w:val="Normal"/>
    <w:link w:val="TitreCar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ccentuation">
    <w:name w:val="Emphasis"/>
    <w:basedOn w:val="Policepardfaut"/>
    <w:uiPriority w:val="20"/>
    <w:qFormat/>
    <w:rPr>
      <w:i/>
      <w:iCs/>
    </w:rPr>
  </w:style>
  <w:style w:type="character" w:styleId="Lienhypertexte">
    <w:name w:val="Hyperlink"/>
    <w:basedOn w:val="Policepardfaut"/>
    <w:uiPriority w:val="99"/>
    <w:unhideWhenUsed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</w:style>
  <w:style w:type="paragraph" w:styleId="Textedebulles">
    <w:name w:val="Balloon Text"/>
    <w:basedOn w:val="Normal"/>
    <w:link w:val="Textedebulles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Pr>
      <w:rFonts w:ascii="Tahoma" w:hAnsi="Tahoma" w:cs="Tahoma"/>
      <w:sz w:val="16"/>
      <w:szCs w:val="16"/>
    </w:rPr>
  </w:style>
  <w:style w:type="paragraph" w:customStyle="1" w:styleId="DecimalAligned">
    <w:name w:val="Decimal Aligned"/>
    <w:basedOn w:val="Normal"/>
    <w:uiPriority w:val="40"/>
    <w:qFormat/>
    <w:pPr>
      <w:tabs>
        <w:tab w:val="decimal" w:pos="360"/>
      </w:tabs>
    </w:pPr>
    <w:rPr>
      <w:rFonts w:eastAsiaTheme="minorHAnsi"/>
    </w:rPr>
  </w:style>
  <w:style w:type="paragraph" w:styleId="Notedebasdepage">
    <w:name w:val="footnote text"/>
    <w:basedOn w:val="Normal"/>
    <w:link w:val="NotedebasdepageCar"/>
    <w:uiPriority w:val="99"/>
    <w:unhideWhenUsed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rPr>
      <w:sz w:val="20"/>
      <w:szCs w:val="20"/>
    </w:rPr>
  </w:style>
  <w:style w:type="character" w:styleId="Accentuationlgre">
    <w:name w:val="Subtle Emphasis"/>
    <w:basedOn w:val="Policepardfaut"/>
    <w:uiPriority w:val="19"/>
    <w:qFormat/>
    <w:rPr>
      <w:i/>
      <w:iCs/>
      <w:color w:val="7F7F7F" w:themeColor="text1" w:themeTint="80"/>
    </w:rPr>
  </w:style>
  <w:style w:type="table" w:styleId="Trameclaire-Accent1">
    <w:name w:val="Light Shading Accent 1"/>
    <w:basedOn w:val="TableauNormal"/>
    <w:uiPriority w:val="6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NormalWeb">
    <w:name w:val="Normal (Web)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59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oleObject" Target="embeddings/oleObject9.bin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42673C8B5DA4C2AB42EA0943203D3B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AF6C235-E283-4240-9CE7-5966B4A07DBE}"/>
      </w:docPartPr>
      <w:docPartBody>
        <w:p w:rsidR="00613FED" w:rsidRDefault="00FB4262" w:rsidP="00FB4262">
          <w:pPr>
            <w:pStyle w:val="142673C8B5DA4C2AB42EA0943203D3BE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24"/>
            </w:rPr>
            <w:t>[Titre du document]</w:t>
          </w:r>
        </w:p>
      </w:docPartBody>
    </w:docPart>
    <w:docPart>
      <w:docPartPr>
        <w:name w:val="8209DE6C818D4AF8AE06F1CF0999642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A0465D-FF9E-49C7-BCEE-B211154133F5}"/>
      </w:docPartPr>
      <w:docPartBody>
        <w:p w:rsidR="00613FED" w:rsidRDefault="00FB4262" w:rsidP="00FB4262">
          <w:pPr>
            <w:pStyle w:val="8209DE6C818D4AF8AE06F1CF09996428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24"/>
            </w:rPr>
            <w:t>[Choisir la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262"/>
    <w:rsid w:val="000955CB"/>
    <w:rsid w:val="001A4782"/>
    <w:rsid w:val="00305B80"/>
    <w:rsid w:val="00332D98"/>
    <w:rsid w:val="00390E64"/>
    <w:rsid w:val="00613FED"/>
    <w:rsid w:val="00643287"/>
    <w:rsid w:val="00652DB0"/>
    <w:rsid w:val="00782A56"/>
    <w:rsid w:val="009D15A4"/>
    <w:rsid w:val="00A53DBB"/>
    <w:rsid w:val="00DC2A3D"/>
    <w:rsid w:val="00E800AC"/>
    <w:rsid w:val="00FB4262"/>
    <w:rsid w:val="00FB74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142673C8B5DA4C2AB42EA0943203D3BE">
    <w:name w:val="142673C8B5DA4C2AB42EA0943203D3BE"/>
    <w:rsid w:val="00FB4262"/>
  </w:style>
  <w:style w:type="paragraph" w:customStyle="1" w:styleId="8209DE6C818D4AF8AE06F1CF09996428">
    <w:name w:val="8209DE6C818D4AF8AE06F1CF09996428"/>
    <w:rsid w:val="00FB42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554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docx4j</dc:creator>
  <cp:lastModifiedBy>User</cp:lastModifiedBy>
  <cp:revision>5</cp:revision>
  <dcterms:created xsi:type="dcterms:W3CDTF">2018-08-31T08:14:00Z</dcterms:created>
  <dcterms:modified xsi:type="dcterms:W3CDTF">2018-08-31T08:20:00Z</dcterms:modified>
</cp:coreProperties>
</file>