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8ED" w:rsidRDefault="00A150C2" w:rsidP="00BC62E4">
      <w:pPr>
        <w:jc w:val="center"/>
      </w:pPr>
      <w:r>
        <w:rPr>
          <w:noProof/>
          <w:lang w:eastAsia="fr-FR"/>
        </w:rPr>
        <w:drawing>
          <wp:inline distT="0" distB="0" distL="0" distR="0">
            <wp:extent cx="5760720" cy="1935480"/>
            <wp:effectExtent l="19050" t="0" r="0" b="0"/>
            <wp:docPr id="2" name="Image 1" descr="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93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008ED" w:rsidSect="004008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C62E4"/>
    <w:rsid w:val="001E4B47"/>
    <w:rsid w:val="004008ED"/>
    <w:rsid w:val="00546EA8"/>
    <w:rsid w:val="00670C2F"/>
    <w:rsid w:val="00A150C2"/>
    <w:rsid w:val="00BC62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08E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C62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C62E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ThyssenKrupp Ascenseurs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ThyssenKrupp</dc:creator>
  <cp:lastModifiedBy>ThyssenKrupp</cp:lastModifiedBy>
  <cp:revision>4</cp:revision>
  <dcterms:created xsi:type="dcterms:W3CDTF">2013-05-27T08:48:00Z</dcterms:created>
  <dcterms:modified xsi:type="dcterms:W3CDTF">2013-05-27T09:11:00Z</dcterms:modified>
</cp:coreProperties>
</file>