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C74" w:rsidRDefault="00244F09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1802903</wp:posOffset>
                </wp:positionH>
                <wp:positionV relativeFrom="paragraph">
                  <wp:posOffset>-1270</wp:posOffset>
                </wp:positionV>
                <wp:extent cx="246490" cy="596348"/>
                <wp:effectExtent l="0" t="0" r="58420" b="5143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490" cy="59634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141.95pt;margin-top:-.1pt;width:19.4pt;height:46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3FCCB5C4" wp14:editId="2B65F1BA">
            <wp:extent cx="4572000" cy="2743200"/>
            <wp:effectExtent l="0" t="0" r="19050" b="1905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44F09" w:rsidRDefault="00244F09">
      <w:r>
        <w:t xml:space="preserve">Pour la j’aimerai avoir la valeur au bout des flèches </w:t>
      </w:r>
    </w:p>
    <w:p w:rsidR="00244F09" w:rsidRDefault="00244F09"/>
    <w:p w:rsidR="00244F09" w:rsidRDefault="00244F09">
      <w:r>
        <w:t xml:space="preserve">Pour le deuxième graphique une valeur qui est sur l’un des plateaux là ou sa reste constants. </w:t>
      </w:r>
    </w:p>
    <w:p w:rsidR="00244F09" w:rsidRDefault="00244F09">
      <w:bookmarkStart w:id="0" w:name="_GoBack"/>
      <w:r>
        <w:rPr>
          <w:noProof/>
          <w:lang w:eastAsia="fr-FR"/>
        </w:rPr>
        <w:drawing>
          <wp:inline distT="0" distB="0" distL="0" distR="0" wp14:anchorId="58AB128D" wp14:editId="5C0D93EC">
            <wp:extent cx="4572000" cy="2743200"/>
            <wp:effectExtent l="0" t="0" r="19050" b="19050"/>
            <wp:docPr id="3" name="Graphique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bookmarkEnd w:id="0"/>
    </w:p>
    <w:sectPr w:rsidR="00244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002" w:rsidRDefault="00260002" w:rsidP="00244F09">
      <w:pPr>
        <w:spacing w:after="0" w:line="240" w:lineRule="auto"/>
      </w:pPr>
      <w:r>
        <w:separator/>
      </w:r>
    </w:p>
  </w:endnote>
  <w:endnote w:type="continuationSeparator" w:id="0">
    <w:p w:rsidR="00260002" w:rsidRDefault="00260002" w:rsidP="00244F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002" w:rsidRDefault="00260002" w:rsidP="00244F09">
      <w:pPr>
        <w:spacing w:after="0" w:line="240" w:lineRule="auto"/>
      </w:pPr>
      <w:r>
        <w:separator/>
      </w:r>
    </w:p>
  </w:footnote>
  <w:footnote w:type="continuationSeparator" w:id="0">
    <w:p w:rsidR="00260002" w:rsidRDefault="00260002" w:rsidP="00244F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F09"/>
    <w:rsid w:val="00244F09"/>
    <w:rsid w:val="00260002"/>
    <w:rsid w:val="00AC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4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4F0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44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4F09"/>
  </w:style>
  <w:style w:type="paragraph" w:styleId="Pieddepage">
    <w:name w:val="footer"/>
    <w:basedOn w:val="Normal"/>
    <w:link w:val="PieddepageCar"/>
    <w:uiPriority w:val="99"/>
    <w:unhideWhenUsed/>
    <w:rsid w:val="00244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4F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44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4F09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44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44F09"/>
  </w:style>
  <w:style w:type="paragraph" w:styleId="Pieddepage">
    <w:name w:val="footer"/>
    <w:basedOn w:val="Normal"/>
    <w:link w:val="PieddepageCar"/>
    <w:uiPriority w:val="99"/>
    <w:unhideWhenUsed/>
    <w:rsid w:val="00244F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44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file:///E:\teste01.xlsx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oleObject" Target="file:///E:\teste0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fr-FR"/>
              <a:t>deplacement</a:t>
            </a:r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3798862642169729"/>
          <c:y val="0.19480351414406533"/>
          <c:w val="0.67465113735783022"/>
          <c:h val="0.68387685914260721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xVal>
            <c:numRef>
              <c:f>teste01!$A$3:$A$90</c:f>
              <c:numCache>
                <c:formatCode>General</c:formatCode>
                <c:ptCount val="88"/>
                <c:pt idx="0">
                  <c:v>0</c:v>
                </c:pt>
                <c:pt idx="1">
                  <c:v>0.5</c:v>
                </c:pt>
                <c:pt idx="2">
                  <c:v>1</c:v>
                </c:pt>
                <c:pt idx="3">
                  <c:v>1.5</c:v>
                </c:pt>
                <c:pt idx="4">
                  <c:v>2</c:v>
                </c:pt>
                <c:pt idx="5">
                  <c:v>2.5</c:v>
                </c:pt>
                <c:pt idx="6">
                  <c:v>3</c:v>
                </c:pt>
                <c:pt idx="7">
                  <c:v>3.5</c:v>
                </c:pt>
                <c:pt idx="8">
                  <c:v>4</c:v>
                </c:pt>
                <c:pt idx="9">
                  <c:v>4.5</c:v>
                </c:pt>
                <c:pt idx="10">
                  <c:v>5</c:v>
                </c:pt>
                <c:pt idx="11">
                  <c:v>5.5</c:v>
                </c:pt>
                <c:pt idx="12">
                  <c:v>6</c:v>
                </c:pt>
                <c:pt idx="13">
                  <c:v>6.5</c:v>
                </c:pt>
                <c:pt idx="14">
                  <c:v>7</c:v>
                </c:pt>
                <c:pt idx="15">
                  <c:v>7.5</c:v>
                </c:pt>
                <c:pt idx="16">
                  <c:v>8</c:v>
                </c:pt>
                <c:pt idx="17">
                  <c:v>8.5</c:v>
                </c:pt>
                <c:pt idx="18">
                  <c:v>9</c:v>
                </c:pt>
                <c:pt idx="19">
                  <c:v>9.5</c:v>
                </c:pt>
                <c:pt idx="20">
                  <c:v>10</c:v>
                </c:pt>
                <c:pt idx="21">
                  <c:v>10.5</c:v>
                </c:pt>
                <c:pt idx="22">
                  <c:v>11</c:v>
                </c:pt>
                <c:pt idx="23">
                  <c:v>11.5</c:v>
                </c:pt>
                <c:pt idx="24">
                  <c:v>12</c:v>
                </c:pt>
                <c:pt idx="25">
                  <c:v>12.5</c:v>
                </c:pt>
                <c:pt idx="26">
                  <c:v>13</c:v>
                </c:pt>
                <c:pt idx="27">
                  <c:v>13.5</c:v>
                </c:pt>
                <c:pt idx="28">
                  <c:v>14</c:v>
                </c:pt>
                <c:pt idx="29">
                  <c:v>14.5</c:v>
                </c:pt>
                <c:pt idx="30">
                  <c:v>15</c:v>
                </c:pt>
                <c:pt idx="31">
                  <c:v>15.5</c:v>
                </c:pt>
                <c:pt idx="32">
                  <c:v>16</c:v>
                </c:pt>
                <c:pt idx="33">
                  <c:v>16.5</c:v>
                </c:pt>
                <c:pt idx="34">
                  <c:v>17</c:v>
                </c:pt>
                <c:pt idx="35">
                  <c:v>17.5</c:v>
                </c:pt>
                <c:pt idx="36">
                  <c:v>18</c:v>
                </c:pt>
                <c:pt idx="37">
                  <c:v>18.5</c:v>
                </c:pt>
                <c:pt idx="38">
                  <c:v>19</c:v>
                </c:pt>
                <c:pt idx="39">
                  <c:v>19.5</c:v>
                </c:pt>
                <c:pt idx="40">
                  <c:v>20</c:v>
                </c:pt>
                <c:pt idx="41">
                  <c:v>20.5</c:v>
                </c:pt>
                <c:pt idx="42">
                  <c:v>21</c:v>
                </c:pt>
                <c:pt idx="43">
                  <c:v>21.5</c:v>
                </c:pt>
                <c:pt idx="44">
                  <c:v>22</c:v>
                </c:pt>
                <c:pt idx="45">
                  <c:v>22.5</c:v>
                </c:pt>
                <c:pt idx="46">
                  <c:v>23</c:v>
                </c:pt>
                <c:pt idx="47">
                  <c:v>23.5</c:v>
                </c:pt>
                <c:pt idx="48">
                  <c:v>24</c:v>
                </c:pt>
                <c:pt idx="49">
                  <c:v>24.5</c:v>
                </c:pt>
                <c:pt idx="50">
                  <c:v>25</c:v>
                </c:pt>
                <c:pt idx="51">
                  <c:v>25.5</c:v>
                </c:pt>
                <c:pt idx="52">
                  <c:v>26</c:v>
                </c:pt>
                <c:pt idx="53">
                  <c:v>26.5</c:v>
                </c:pt>
                <c:pt idx="54">
                  <c:v>27</c:v>
                </c:pt>
                <c:pt idx="55">
                  <c:v>27.5</c:v>
                </c:pt>
                <c:pt idx="56">
                  <c:v>28</c:v>
                </c:pt>
                <c:pt idx="57">
                  <c:v>28.5</c:v>
                </c:pt>
                <c:pt idx="58">
                  <c:v>29</c:v>
                </c:pt>
                <c:pt idx="59">
                  <c:v>29.5</c:v>
                </c:pt>
                <c:pt idx="60">
                  <c:v>30</c:v>
                </c:pt>
                <c:pt idx="61">
                  <c:v>30.5</c:v>
                </c:pt>
                <c:pt idx="62">
                  <c:v>31</c:v>
                </c:pt>
                <c:pt idx="63">
                  <c:v>31.5</c:v>
                </c:pt>
                <c:pt idx="64">
                  <c:v>32</c:v>
                </c:pt>
                <c:pt idx="65">
                  <c:v>32.5</c:v>
                </c:pt>
                <c:pt idx="66">
                  <c:v>33</c:v>
                </c:pt>
                <c:pt idx="67">
                  <c:v>33.5</c:v>
                </c:pt>
                <c:pt idx="68">
                  <c:v>34</c:v>
                </c:pt>
                <c:pt idx="69">
                  <c:v>34.5</c:v>
                </c:pt>
                <c:pt idx="70">
                  <c:v>35</c:v>
                </c:pt>
                <c:pt idx="71">
                  <c:v>35.5</c:v>
                </c:pt>
                <c:pt idx="72">
                  <c:v>36</c:v>
                </c:pt>
                <c:pt idx="73">
                  <c:v>36.5</c:v>
                </c:pt>
                <c:pt idx="74">
                  <c:v>37</c:v>
                </c:pt>
                <c:pt idx="75">
                  <c:v>37.5</c:v>
                </c:pt>
                <c:pt idx="76">
                  <c:v>38</c:v>
                </c:pt>
                <c:pt idx="77">
                  <c:v>38.5</c:v>
                </c:pt>
                <c:pt idx="78">
                  <c:v>39</c:v>
                </c:pt>
                <c:pt idx="79">
                  <c:v>39.5</c:v>
                </c:pt>
                <c:pt idx="80">
                  <c:v>40</c:v>
                </c:pt>
                <c:pt idx="81">
                  <c:v>40.5</c:v>
                </c:pt>
                <c:pt idx="82">
                  <c:v>41</c:v>
                </c:pt>
                <c:pt idx="83">
                  <c:v>41.5</c:v>
                </c:pt>
                <c:pt idx="84">
                  <c:v>42</c:v>
                </c:pt>
                <c:pt idx="85">
                  <c:v>42.5</c:v>
                </c:pt>
                <c:pt idx="86">
                  <c:v>43</c:v>
                </c:pt>
                <c:pt idx="87">
                  <c:v>43.5</c:v>
                </c:pt>
              </c:numCache>
            </c:numRef>
          </c:xVal>
          <c:yVal>
            <c:numRef>
              <c:f>teste01!$B$3:$B$90</c:f>
              <c:numCache>
                <c:formatCode>General</c:formatCode>
                <c:ptCount val="88"/>
                <c:pt idx="0">
                  <c:v>-2.7039999999999998E-3</c:v>
                </c:pt>
                <c:pt idx="1">
                  <c:v>-1.7080000000000001E-3</c:v>
                </c:pt>
                <c:pt idx="2">
                  <c:v>-2.3550000000000001E-4</c:v>
                </c:pt>
                <c:pt idx="3">
                  <c:v>1.7359999999999999E-4</c:v>
                </c:pt>
                <c:pt idx="4">
                  <c:v>1.7359999999999999E-4</c:v>
                </c:pt>
                <c:pt idx="5">
                  <c:v>9.0990000000000005E-4</c:v>
                </c:pt>
                <c:pt idx="6">
                  <c:v>1.5640000000000001E-3</c:v>
                </c:pt>
                <c:pt idx="7">
                  <c:v>2.9009999999999999E-3</c:v>
                </c:pt>
                <c:pt idx="8">
                  <c:v>-1.013E-3</c:v>
                </c:pt>
                <c:pt idx="9">
                  <c:v>7.8100000000000001E-5</c:v>
                </c:pt>
                <c:pt idx="10">
                  <c:v>7.1900000000000002E-4</c:v>
                </c:pt>
                <c:pt idx="11">
                  <c:v>3.2420000000000001E-3</c:v>
                </c:pt>
                <c:pt idx="12">
                  <c:v>0.1769</c:v>
                </c:pt>
                <c:pt idx="13">
                  <c:v>0.62139999999999995</c:v>
                </c:pt>
                <c:pt idx="14">
                  <c:v>1.2809999999999999</c:v>
                </c:pt>
                <c:pt idx="15">
                  <c:v>1.893</c:v>
                </c:pt>
                <c:pt idx="16">
                  <c:v>1.605</c:v>
                </c:pt>
                <c:pt idx="17">
                  <c:v>1.292</c:v>
                </c:pt>
                <c:pt idx="18">
                  <c:v>0.8397</c:v>
                </c:pt>
                <c:pt idx="19">
                  <c:v>0.2354</c:v>
                </c:pt>
                <c:pt idx="20">
                  <c:v>-0.42620000000000002</c:v>
                </c:pt>
                <c:pt idx="21">
                  <c:v>-0.75290000000000001</c:v>
                </c:pt>
                <c:pt idx="22">
                  <c:v>-0.75680000000000003</c:v>
                </c:pt>
                <c:pt idx="23">
                  <c:v>-0.75629999999999997</c:v>
                </c:pt>
                <c:pt idx="24">
                  <c:v>-0.7581</c:v>
                </c:pt>
                <c:pt idx="25">
                  <c:v>-0.75829999999999997</c:v>
                </c:pt>
                <c:pt idx="26">
                  <c:v>-0.75639999999999996</c:v>
                </c:pt>
                <c:pt idx="27">
                  <c:v>-0.75660000000000005</c:v>
                </c:pt>
                <c:pt idx="28">
                  <c:v>-0.75719999999999998</c:v>
                </c:pt>
                <c:pt idx="29">
                  <c:v>-0.75700000000000001</c:v>
                </c:pt>
                <c:pt idx="30">
                  <c:v>-0.75839999999999996</c:v>
                </c:pt>
                <c:pt idx="31">
                  <c:v>-0.7571</c:v>
                </c:pt>
                <c:pt idx="32">
                  <c:v>-0.75749999999999995</c:v>
                </c:pt>
                <c:pt idx="33">
                  <c:v>-0.75660000000000005</c:v>
                </c:pt>
                <c:pt idx="34">
                  <c:v>-0.75760000000000005</c:v>
                </c:pt>
                <c:pt idx="35">
                  <c:v>-0.75780000000000003</c:v>
                </c:pt>
                <c:pt idx="36">
                  <c:v>-0.75690000000000002</c:v>
                </c:pt>
                <c:pt idx="37">
                  <c:v>-0.75609999999999999</c:v>
                </c:pt>
                <c:pt idx="38">
                  <c:v>-0.75819999999999999</c:v>
                </c:pt>
                <c:pt idx="39">
                  <c:v>-0.7581</c:v>
                </c:pt>
                <c:pt idx="40">
                  <c:v>-0.75070000000000003</c:v>
                </c:pt>
                <c:pt idx="41">
                  <c:v>-0.54139999999999999</c:v>
                </c:pt>
                <c:pt idx="42">
                  <c:v>-6.1339999999999999E-2</c:v>
                </c:pt>
                <c:pt idx="43">
                  <c:v>0.56040000000000001</c:v>
                </c:pt>
                <c:pt idx="44">
                  <c:v>1.2989999999999999</c:v>
                </c:pt>
                <c:pt idx="45">
                  <c:v>1.948</c:v>
                </c:pt>
                <c:pt idx="46">
                  <c:v>2.6680000000000001</c:v>
                </c:pt>
                <c:pt idx="47">
                  <c:v>3.2919999999999998</c:v>
                </c:pt>
                <c:pt idx="48">
                  <c:v>3.02</c:v>
                </c:pt>
                <c:pt idx="49">
                  <c:v>2.1949999999999998</c:v>
                </c:pt>
                <c:pt idx="50">
                  <c:v>1.357</c:v>
                </c:pt>
                <c:pt idx="51">
                  <c:v>0.56969999999999998</c:v>
                </c:pt>
                <c:pt idx="52">
                  <c:v>-0.2545</c:v>
                </c:pt>
                <c:pt idx="53">
                  <c:v>-0.76890000000000003</c:v>
                </c:pt>
                <c:pt idx="54">
                  <c:v>-0.77280000000000004</c:v>
                </c:pt>
                <c:pt idx="55">
                  <c:v>-0.77210000000000001</c:v>
                </c:pt>
                <c:pt idx="56">
                  <c:v>-0.77190000000000003</c:v>
                </c:pt>
                <c:pt idx="57">
                  <c:v>-0.77300000000000002</c:v>
                </c:pt>
                <c:pt idx="58">
                  <c:v>-0.77129999999999999</c:v>
                </c:pt>
                <c:pt idx="59">
                  <c:v>-0.77349999999999997</c:v>
                </c:pt>
                <c:pt idx="60">
                  <c:v>-0.77329999999999999</c:v>
                </c:pt>
                <c:pt idx="61">
                  <c:v>-0.77210000000000001</c:v>
                </c:pt>
                <c:pt idx="62">
                  <c:v>-0.77310000000000001</c:v>
                </c:pt>
                <c:pt idx="63">
                  <c:v>-0.77390000000000003</c:v>
                </c:pt>
                <c:pt idx="64">
                  <c:v>-0.77390000000000003</c:v>
                </c:pt>
                <c:pt idx="65">
                  <c:v>-0.77370000000000005</c:v>
                </c:pt>
                <c:pt idx="66">
                  <c:v>-0.77270000000000005</c:v>
                </c:pt>
                <c:pt idx="67">
                  <c:v>-0.77370000000000005</c:v>
                </c:pt>
                <c:pt idx="68">
                  <c:v>-0.77349999999999997</c:v>
                </c:pt>
                <c:pt idx="69">
                  <c:v>-0.77190000000000003</c:v>
                </c:pt>
                <c:pt idx="70">
                  <c:v>-0.77290000000000003</c:v>
                </c:pt>
                <c:pt idx="71">
                  <c:v>-0.77280000000000004</c:v>
                </c:pt>
                <c:pt idx="72">
                  <c:v>-0.77410000000000001</c:v>
                </c:pt>
                <c:pt idx="73">
                  <c:v>-0.77310000000000001</c:v>
                </c:pt>
                <c:pt idx="74">
                  <c:v>-0.7742</c:v>
                </c:pt>
                <c:pt idx="75">
                  <c:v>-0.77239999999999998</c:v>
                </c:pt>
                <c:pt idx="76">
                  <c:v>-0.77610000000000001</c:v>
                </c:pt>
                <c:pt idx="77">
                  <c:v>-0.77470000000000006</c:v>
                </c:pt>
                <c:pt idx="78">
                  <c:v>-0.77410000000000001</c:v>
                </c:pt>
                <c:pt idx="79">
                  <c:v>-0.77280000000000004</c:v>
                </c:pt>
                <c:pt idx="80">
                  <c:v>-0.77270000000000005</c:v>
                </c:pt>
                <c:pt idx="81">
                  <c:v>-0.7732</c:v>
                </c:pt>
                <c:pt idx="82">
                  <c:v>-0.77300000000000002</c:v>
                </c:pt>
                <c:pt idx="83">
                  <c:v>-0.77210000000000001</c:v>
                </c:pt>
                <c:pt idx="84">
                  <c:v>-0.77190000000000003</c:v>
                </c:pt>
                <c:pt idx="85">
                  <c:v>-0.77180000000000004</c:v>
                </c:pt>
                <c:pt idx="86">
                  <c:v>-0.77200000000000002</c:v>
                </c:pt>
                <c:pt idx="87">
                  <c:v>-0.77259999999999995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3363968"/>
        <c:axId val="153365888"/>
      </c:scatterChart>
      <c:valAx>
        <c:axId val="153363968"/>
        <c:scaling>
          <c:orientation val="minMax"/>
        </c:scaling>
        <c:delete val="0"/>
        <c:axPos val="b"/>
        <c:title>
          <c:overlay val="0"/>
        </c:title>
        <c:numFmt formatCode="General" sourceLinked="1"/>
        <c:majorTickMark val="none"/>
        <c:minorTickMark val="none"/>
        <c:tickLblPos val="nextTo"/>
        <c:crossAx val="153365888"/>
        <c:crosses val="autoZero"/>
        <c:crossBetween val="midCat"/>
      </c:valAx>
      <c:valAx>
        <c:axId val="153365888"/>
        <c:scaling>
          <c:orientation val="minMax"/>
        </c:scaling>
        <c:delete val="0"/>
        <c:axPos val="l"/>
        <c:majorGridlines/>
        <c:title>
          <c:overlay val="0"/>
        </c:title>
        <c:numFmt formatCode="General" sourceLinked="1"/>
        <c:majorTickMark val="none"/>
        <c:minorTickMark val="none"/>
        <c:tickLblPos val="nextTo"/>
        <c:crossAx val="153363968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mesure 1</a:t>
            </a:r>
          </a:p>
        </c:rich>
      </c:tx>
      <c:layout>
        <c:manualLayout>
          <c:xMode val="edge"/>
          <c:yMode val="edge"/>
          <c:x val="0.27624999999999994"/>
          <c:y val="2.3148148148148147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5.866907261592301E-2"/>
          <c:y val="2.8252405949256341E-2"/>
          <c:w val="0.68304024496937887"/>
          <c:h val="0.68387685914260721"/>
        </c:manualLayout>
      </c:layout>
      <c:scatterChart>
        <c:scatterStyle val="lineMarker"/>
        <c:varyColors val="0"/>
        <c:ser>
          <c:idx val="0"/>
          <c:order val="0"/>
          <c:spPr>
            <a:ln w="28575">
              <a:noFill/>
            </a:ln>
          </c:spPr>
          <c:xVal>
            <c:strRef>
              <c:f>teste01!$A$1:$A$90</c:f>
              <c:strCache>
                <c:ptCount val="90"/>
                <c:pt idx="0">
                  <c:v>Correction de la longueur des câbles Indisponible</c:v>
                </c:pt>
                <c:pt idx="1">
                  <c:v>temps</c:v>
                </c:pt>
                <c:pt idx="2">
                  <c:v>0</c:v>
                </c:pt>
                <c:pt idx="3">
                  <c:v>0,5</c:v>
                </c:pt>
                <c:pt idx="4">
                  <c:v>1</c:v>
                </c:pt>
                <c:pt idx="5">
                  <c:v>1,5</c:v>
                </c:pt>
                <c:pt idx="6">
                  <c:v>2</c:v>
                </c:pt>
                <c:pt idx="7">
                  <c:v>2,5</c:v>
                </c:pt>
                <c:pt idx="8">
                  <c:v>3</c:v>
                </c:pt>
                <c:pt idx="9">
                  <c:v>3,5</c:v>
                </c:pt>
                <c:pt idx="10">
                  <c:v>4</c:v>
                </c:pt>
                <c:pt idx="11">
                  <c:v>4,5</c:v>
                </c:pt>
                <c:pt idx="12">
                  <c:v>5</c:v>
                </c:pt>
                <c:pt idx="13">
                  <c:v>5,5</c:v>
                </c:pt>
                <c:pt idx="14">
                  <c:v>6</c:v>
                </c:pt>
                <c:pt idx="15">
                  <c:v>6,5</c:v>
                </c:pt>
                <c:pt idx="16">
                  <c:v>7</c:v>
                </c:pt>
                <c:pt idx="17">
                  <c:v>7,5</c:v>
                </c:pt>
                <c:pt idx="18">
                  <c:v>8</c:v>
                </c:pt>
                <c:pt idx="19">
                  <c:v>8,5</c:v>
                </c:pt>
                <c:pt idx="20">
                  <c:v>9</c:v>
                </c:pt>
                <c:pt idx="21">
                  <c:v>9,5</c:v>
                </c:pt>
                <c:pt idx="22">
                  <c:v>10</c:v>
                </c:pt>
                <c:pt idx="23">
                  <c:v>10,5</c:v>
                </c:pt>
                <c:pt idx="24">
                  <c:v>11</c:v>
                </c:pt>
                <c:pt idx="25">
                  <c:v>11,5</c:v>
                </c:pt>
                <c:pt idx="26">
                  <c:v>12</c:v>
                </c:pt>
                <c:pt idx="27">
                  <c:v>12,5</c:v>
                </c:pt>
                <c:pt idx="28">
                  <c:v>13</c:v>
                </c:pt>
                <c:pt idx="29">
                  <c:v>13,5</c:v>
                </c:pt>
                <c:pt idx="30">
                  <c:v>14</c:v>
                </c:pt>
                <c:pt idx="31">
                  <c:v>14,5</c:v>
                </c:pt>
                <c:pt idx="32">
                  <c:v>15</c:v>
                </c:pt>
                <c:pt idx="33">
                  <c:v>15,5</c:v>
                </c:pt>
                <c:pt idx="34">
                  <c:v>16</c:v>
                </c:pt>
                <c:pt idx="35">
                  <c:v>16,5</c:v>
                </c:pt>
                <c:pt idx="36">
                  <c:v>17</c:v>
                </c:pt>
                <c:pt idx="37">
                  <c:v>17,5</c:v>
                </c:pt>
                <c:pt idx="38">
                  <c:v>18</c:v>
                </c:pt>
                <c:pt idx="39">
                  <c:v>18,5</c:v>
                </c:pt>
                <c:pt idx="40">
                  <c:v>19</c:v>
                </c:pt>
                <c:pt idx="41">
                  <c:v>19,5</c:v>
                </c:pt>
                <c:pt idx="42">
                  <c:v>20</c:v>
                </c:pt>
                <c:pt idx="43">
                  <c:v>20,5</c:v>
                </c:pt>
                <c:pt idx="44">
                  <c:v>21</c:v>
                </c:pt>
                <c:pt idx="45">
                  <c:v>21,5</c:v>
                </c:pt>
                <c:pt idx="46">
                  <c:v>22</c:v>
                </c:pt>
                <c:pt idx="47">
                  <c:v>22,5</c:v>
                </c:pt>
                <c:pt idx="48">
                  <c:v>23</c:v>
                </c:pt>
                <c:pt idx="49">
                  <c:v>23,5</c:v>
                </c:pt>
                <c:pt idx="50">
                  <c:v>24</c:v>
                </c:pt>
                <c:pt idx="51">
                  <c:v>24,5</c:v>
                </c:pt>
                <c:pt idx="52">
                  <c:v>25</c:v>
                </c:pt>
                <c:pt idx="53">
                  <c:v>25,5</c:v>
                </c:pt>
                <c:pt idx="54">
                  <c:v>26</c:v>
                </c:pt>
                <c:pt idx="55">
                  <c:v>26,5</c:v>
                </c:pt>
                <c:pt idx="56">
                  <c:v>27</c:v>
                </c:pt>
                <c:pt idx="57">
                  <c:v>27,5</c:v>
                </c:pt>
                <c:pt idx="58">
                  <c:v>28</c:v>
                </c:pt>
                <c:pt idx="59">
                  <c:v>28,5</c:v>
                </c:pt>
                <c:pt idx="60">
                  <c:v>29</c:v>
                </c:pt>
                <c:pt idx="61">
                  <c:v>29,5</c:v>
                </c:pt>
                <c:pt idx="62">
                  <c:v>30</c:v>
                </c:pt>
                <c:pt idx="63">
                  <c:v>30,5</c:v>
                </c:pt>
                <c:pt idx="64">
                  <c:v>31</c:v>
                </c:pt>
                <c:pt idx="65">
                  <c:v>31,5</c:v>
                </c:pt>
                <c:pt idx="66">
                  <c:v>32</c:v>
                </c:pt>
                <c:pt idx="67">
                  <c:v>32,5</c:v>
                </c:pt>
                <c:pt idx="68">
                  <c:v>33</c:v>
                </c:pt>
                <c:pt idx="69">
                  <c:v>33,5</c:v>
                </c:pt>
                <c:pt idx="70">
                  <c:v>34</c:v>
                </c:pt>
                <c:pt idx="71">
                  <c:v>34,5</c:v>
                </c:pt>
                <c:pt idx="72">
                  <c:v>35</c:v>
                </c:pt>
                <c:pt idx="73">
                  <c:v>35,5</c:v>
                </c:pt>
                <c:pt idx="74">
                  <c:v>36</c:v>
                </c:pt>
                <c:pt idx="75">
                  <c:v>36,5</c:v>
                </c:pt>
                <c:pt idx="76">
                  <c:v>37</c:v>
                </c:pt>
                <c:pt idx="77">
                  <c:v>37,5</c:v>
                </c:pt>
                <c:pt idx="78">
                  <c:v>38</c:v>
                </c:pt>
                <c:pt idx="79">
                  <c:v>38,5</c:v>
                </c:pt>
                <c:pt idx="80">
                  <c:v>39</c:v>
                </c:pt>
                <c:pt idx="81">
                  <c:v>39,5</c:v>
                </c:pt>
                <c:pt idx="82">
                  <c:v>40</c:v>
                </c:pt>
                <c:pt idx="83">
                  <c:v>40,5</c:v>
                </c:pt>
                <c:pt idx="84">
                  <c:v>41</c:v>
                </c:pt>
                <c:pt idx="85">
                  <c:v>41,5</c:v>
                </c:pt>
                <c:pt idx="86">
                  <c:v>42</c:v>
                </c:pt>
                <c:pt idx="87">
                  <c:v>42,5</c:v>
                </c:pt>
                <c:pt idx="88">
                  <c:v>43</c:v>
                </c:pt>
                <c:pt idx="89">
                  <c:v>43,5</c:v>
                </c:pt>
              </c:strCache>
            </c:strRef>
          </c:xVal>
          <c:yVal>
            <c:numRef>
              <c:f>teste01!$C$3:$C$90</c:f>
              <c:numCache>
                <c:formatCode>General</c:formatCode>
                <c:ptCount val="88"/>
                <c:pt idx="0">
                  <c:v>3.3329999999999999E-2</c:v>
                </c:pt>
                <c:pt idx="1">
                  <c:v>3.3329999999999999E-2</c:v>
                </c:pt>
                <c:pt idx="2">
                  <c:v>-0.56669999999999998</c:v>
                </c:pt>
                <c:pt idx="3">
                  <c:v>-0.4</c:v>
                </c:pt>
                <c:pt idx="4">
                  <c:v>-0.19170000000000001</c:v>
                </c:pt>
                <c:pt idx="5">
                  <c:v>-0.1333</c:v>
                </c:pt>
                <c:pt idx="6">
                  <c:v>-0.1333</c:v>
                </c:pt>
                <c:pt idx="7">
                  <c:v>-0.1583</c:v>
                </c:pt>
                <c:pt idx="8">
                  <c:v>-0.16669999999999999</c:v>
                </c:pt>
                <c:pt idx="9">
                  <c:v>-0.17499999999999999</c:v>
                </c:pt>
                <c:pt idx="10">
                  <c:v>-0.2</c:v>
                </c:pt>
                <c:pt idx="11">
                  <c:v>-0.23330000000000001</c:v>
                </c:pt>
                <c:pt idx="12">
                  <c:v>-0.26669999999999999</c:v>
                </c:pt>
                <c:pt idx="13">
                  <c:v>-0.26669999999999999</c:v>
                </c:pt>
                <c:pt idx="14">
                  <c:v>-0.26669999999999999</c:v>
                </c:pt>
                <c:pt idx="15">
                  <c:v>-0.23330000000000001</c:v>
                </c:pt>
                <c:pt idx="16">
                  <c:v>-0.20830000000000001</c:v>
                </c:pt>
                <c:pt idx="17">
                  <c:v>-0.20830000000000001</c:v>
                </c:pt>
                <c:pt idx="18">
                  <c:v>-0.2417</c:v>
                </c:pt>
                <c:pt idx="19">
                  <c:v>-0.26669999999999999</c:v>
                </c:pt>
                <c:pt idx="20">
                  <c:v>-0.2417</c:v>
                </c:pt>
                <c:pt idx="21">
                  <c:v>-0.22500000000000001</c:v>
                </c:pt>
                <c:pt idx="22">
                  <c:v>-0.2</c:v>
                </c:pt>
                <c:pt idx="23">
                  <c:v>-0.18329999999999999</c:v>
                </c:pt>
                <c:pt idx="24">
                  <c:v>-0.16669999999999999</c:v>
                </c:pt>
                <c:pt idx="25">
                  <c:v>-0.16669999999999999</c:v>
                </c:pt>
                <c:pt idx="26">
                  <c:v>-0.15</c:v>
                </c:pt>
                <c:pt idx="27">
                  <c:v>-0.14169999999999999</c:v>
                </c:pt>
                <c:pt idx="28">
                  <c:v>-0.16669999999999999</c:v>
                </c:pt>
                <c:pt idx="29">
                  <c:v>-0.2</c:v>
                </c:pt>
                <c:pt idx="30">
                  <c:v>-0.18329999999999999</c:v>
                </c:pt>
                <c:pt idx="31">
                  <c:v>1.1579999999999999</c:v>
                </c:pt>
                <c:pt idx="32">
                  <c:v>5.0919999999999996</c:v>
                </c:pt>
                <c:pt idx="33">
                  <c:v>9.3079999999999998</c:v>
                </c:pt>
                <c:pt idx="34">
                  <c:v>11.42</c:v>
                </c:pt>
                <c:pt idx="35">
                  <c:v>12.07</c:v>
                </c:pt>
                <c:pt idx="36">
                  <c:v>12.13</c:v>
                </c:pt>
                <c:pt idx="37">
                  <c:v>12.08</c:v>
                </c:pt>
                <c:pt idx="38">
                  <c:v>12.04</c:v>
                </c:pt>
                <c:pt idx="39">
                  <c:v>12.03</c:v>
                </c:pt>
                <c:pt idx="40">
                  <c:v>12.08</c:v>
                </c:pt>
                <c:pt idx="41">
                  <c:v>12.15</c:v>
                </c:pt>
                <c:pt idx="42">
                  <c:v>12.22</c:v>
                </c:pt>
                <c:pt idx="43">
                  <c:v>12.23</c:v>
                </c:pt>
                <c:pt idx="44">
                  <c:v>12.23</c:v>
                </c:pt>
                <c:pt idx="45">
                  <c:v>12.21</c:v>
                </c:pt>
                <c:pt idx="46">
                  <c:v>12.17</c:v>
                </c:pt>
                <c:pt idx="47">
                  <c:v>12.17</c:v>
                </c:pt>
                <c:pt idx="48">
                  <c:v>12.15</c:v>
                </c:pt>
                <c:pt idx="49">
                  <c:v>12.13</c:v>
                </c:pt>
                <c:pt idx="50">
                  <c:v>12.12</c:v>
                </c:pt>
                <c:pt idx="51">
                  <c:v>12.1</c:v>
                </c:pt>
                <c:pt idx="52">
                  <c:v>12.11</c:v>
                </c:pt>
                <c:pt idx="53">
                  <c:v>12.13</c:v>
                </c:pt>
                <c:pt idx="54">
                  <c:v>12.13</c:v>
                </c:pt>
                <c:pt idx="55">
                  <c:v>12.17</c:v>
                </c:pt>
                <c:pt idx="56">
                  <c:v>12.21</c:v>
                </c:pt>
                <c:pt idx="57">
                  <c:v>12.23</c:v>
                </c:pt>
                <c:pt idx="58">
                  <c:v>12.19</c:v>
                </c:pt>
                <c:pt idx="59">
                  <c:v>12.14</c:v>
                </c:pt>
                <c:pt idx="60">
                  <c:v>12.12</c:v>
                </c:pt>
                <c:pt idx="61">
                  <c:v>12.08</c:v>
                </c:pt>
                <c:pt idx="62">
                  <c:v>12.05</c:v>
                </c:pt>
                <c:pt idx="63">
                  <c:v>12.11</c:v>
                </c:pt>
                <c:pt idx="64">
                  <c:v>12.24</c:v>
                </c:pt>
                <c:pt idx="65">
                  <c:v>14.24</c:v>
                </c:pt>
                <c:pt idx="66">
                  <c:v>20.21</c:v>
                </c:pt>
                <c:pt idx="67">
                  <c:v>26.52</c:v>
                </c:pt>
                <c:pt idx="68">
                  <c:v>30.39</c:v>
                </c:pt>
                <c:pt idx="69">
                  <c:v>31.81</c:v>
                </c:pt>
                <c:pt idx="70">
                  <c:v>32.03</c:v>
                </c:pt>
                <c:pt idx="71">
                  <c:v>31.94</c:v>
                </c:pt>
                <c:pt idx="72">
                  <c:v>31.83</c:v>
                </c:pt>
                <c:pt idx="73">
                  <c:v>31.8</c:v>
                </c:pt>
                <c:pt idx="74">
                  <c:v>31.77</c:v>
                </c:pt>
                <c:pt idx="75">
                  <c:v>31.78</c:v>
                </c:pt>
                <c:pt idx="76">
                  <c:v>31.78</c:v>
                </c:pt>
                <c:pt idx="77">
                  <c:v>31.78</c:v>
                </c:pt>
                <c:pt idx="78">
                  <c:v>31.8</c:v>
                </c:pt>
                <c:pt idx="79">
                  <c:v>31.83</c:v>
                </c:pt>
                <c:pt idx="80">
                  <c:v>31.87</c:v>
                </c:pt>
                <c:pt idx="81">
                  <c:v>31.91</c:v>
                </c:pt>
                <c:pt idx="82">
                  <c:v>31.9</c:v>
                </c:pt>
                <c:pt idx="83">
                  <c:v>31.9</c:v>
                </c:pt>
                <c:pt idx="84">
                  <c:v>31.9</c:v>
                </c:pt>
                <c:pt idx="85">
                  <c:v>31.9</c:v>
                </c:pt>
                <c:pt idx="86">
                  <c:v>31.9</c:v>
                </c:pt>
                <c:pt idx="87">
                  <c:v>31.9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3372160"/>
        <c:axId val="153374080"/>
      </c:scatterChart>
      <c:valAx>
        <c:axId val="153372160"/>
        <c:scaling>
          <c:orientation val="minMax"/>
        </c:scaling>
        <c:delete val="0"/>
        <c:axPos val="b"/>
        <c:title>
          <c:overlay val="0"/>
        </c:title>
        <c:majorTickMark val="none"/>
        <c:minorTickMark val="none"/>
        <c:tickLblPos val="nextTo"/>
        <c:crossAx val="153374080"/>
        <c:crosses val="autoZero"/>
        <c:crossBetween val="midCat"/>
      </c:valAx>
      <c:valAx>
        <c:axId val="153374080"/>
        <c:scaling>
          <c:orientation val="minMax"/>
        </c:scaling>
        <c:delete val="0"/>
        <c:axPos val="l"/>
        <c:majorGridlines/>
        <c:title>
          <c:overlay val="0"/>
        </c:title>
        <c:numFmt formatCode="General" sourceLinked="1"/>
        <c:majorTickMark val="none"/>
        <c:minorTickMark val="none"/>
        <c:tickLblPos val="nextTo"/>
        <c:crossAx val="153372160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0.18325</cdr:x>
      <cdr:y>0.17684</cdr:y>
    </cdr:from>
    <cdr:to>
      <cdr:x>0.23714</cdr:x>
      <cdr:y>0.3942</cdr:y>
    </cdr:to>
    <cdr:cxnSp macro="">
      <cdr:nvCxnSpPr>
        <cdr:cNvPr id="2" name="Connecteur droit avec flèche 1"/>
        <cdr:cNvCxnSpPr/>
      </cdr:nvCxnSpPr>
      <cdr:spPr>
        <a:xfrm xmlns:a="http://schemas.openxmlformats.org/drawingml/2006/main">
          <a:off x="837841" y="485113"/>
          <a:ext cx="246380" cy="596265"/>
        </a:xfrm>
        <a:prstGeom xmlns:a="http://schemas.openxmlformats.org/drawingml/2006/main" prst="straightConnector1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0.31652</cdr:x>
      <cdr:y>0.17681</cdr:y>
    </cdr:from>
    <cdr:to>
      <cdr:x>0.39478</cdr:x>
      <cdr:y>0.35072</cdr:y>
    </cdr:to>
    <cdr:cxnSp macro="">
      <cdr:nvCxnSpPr>
        <cdr:cNvPr id="2" name="Connecteur droit avec flèche 1"/>
        <cdr:cNvCxnSpPr/>
      </cdr:nvCxnSpPr>
      <cdr:spPr>
        <a:xfrm xmlns:a="http://schemas.openxmlformats.org/drawingml/2006/main">
          <a:off x="1447138" y="485030"/>
          <a:ext cx="357808" cy="477078"/>
        </a:xfrm>
        <a:prstGeom xmlns:a="http://schemas.openxmlformats.org/drawingml/2006/main" prst="straightConnector1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  <cdr:relSizeAnchor xmlns:cdr="http://schemas.openxmlformats.org/drawingml/2006/chartDrawing">
    <cdr:from>
      <cdr:x>0.60522</cdr:x>
      <cdr:y>0.10145</cdr:y>
    </cdr:from>
    <cdr:to>
      <cdr:x>0.65217</cdr:x>
      <cdr:y>0.25507</cdr:y>
    </cdr:to>
    <cdr:cxnSp macro="">
      <cdr:nvCxnSpPr>
        <cdr:cNvPr id="4" name="Connecteur droit avec flèche 3"/>
        <cdr:cNvCxnSpPr/>
      </cdr:nvCxnSpPr>
      <cdr:spPr>
        <a:xfrm xmlns:a="http://schemas.openxmlformats.org/drawingml/2006/main" flipH="1" flipV="1">
          <a:off x="2767054" y="278296"/>
          <a:ext cx="214686" cy="421419"/>
        </a:xfrm>
        <a:prstGeom xmlns:a="http://schemas.openxmlformats.org/drawingml/2006/main" prst="straightConnector1">
          <a:avLst/>
        </a:prstGeom>
        <a:ln xmlns:a="http://schemas.openxmlformats.org/drawingml/2006/main">
          <a:tailEnd type="arrow"/>
        </a:ln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EC607-F56A-49F2-A67B-6667490DB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132</Characters>
  <Application>Microsoft Office Word</Application>
  <DocSecurity>0</DocSecurity>
  <Lines>1</Lines>
  <Paragraphs>1</Paragraphs>
  <ScaleCrop>false</ScaleCrop>
  <Company>CETIM</Company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Cetim</dc:creator>
  <cp:lastModifiedBy>Cetim</cp:lastModifiedBy>
  <cp:revision>1</cp:revision>
  <dcterms:created xsi:type="dcterms:W3CDTF">2012-04-25T13:07:00Z</dcterms:created>
  <dcterms:modified xsi:type="dcterms:W3CDTF">2012-04-25T13:14:00Z</dcterms:modified>
</cp:coreProperties>
</file>