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45E" w:rsidRDefault="00BC47AF">
      <w:r w:rsidRPr="00B21FDF">
        <w:rPr>
          <w:noProof/>
          <w:shd w:val="clear" w:color="auto" w:fill="00B0F0"/>
          <w:lang w:eastAsia="fr-FR"/>
        </w:rPr>
        <w:drawing>
          <wp:inline distT="0" distB="0" distL="0" distR="0" wp14:anchorId="1F9F603D" wp14:editId="403BC593">
            <wp:extent cx="5486400" cy="3200400"/>
            <wp:effectExtent l="0" t="0" r="19050" b="19050"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bookmarkEnd w:id="0"/>
    </w:p>
    <w:sectPr w:rsidR="00335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7AF"/>
    <w:rsid w:val="0033545E"/>
    <w:rsid w:val="004E4EB7"/>
    <w:rsid w:val="00653EA0"/>
    <w:rsid w:val="009B2F2E"/>
    <w:rsid w:val="009F2635"/>
    <w:rsid w:val="00B21FDF"/>
    <w:rsid w:val="00BC47AF"/>
    <w:rsid w:val="00E141AA"/>
    <w:rsid w:val="00E6548C"/>
    <w:rsid w:val="00FD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4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4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4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47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Feuille_de_calcul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ubbleChart>
        <c:varyColors val="0"/>
        <c:ser>
          <c:idx val="0"/>
          <c:order val="0"/>
          <c:tx>
            <c:strRef>
              <c:f>Feuil1!$C$1</c:f>
              <c:strCache>
                <c:ptCount val="1"/>
                <c:pt idx="0">
                  <c:v>Valeur des Y (croissance)</c:v>
                </c:pt>
              </c:strCache>
            </c:strRef>
          </c:tx>
          <c:invertIfNegative val="0"/>
          <c:xVal>
            <c:numRef>
              <c:f>Feuil1!$B$2:$B$4</c:f>
              <c:numCache>
                <c:formatCode>General</c:formatCode>
                <c:ptCount val="3"/>
                <c:pt idx="0">
                  <c:v>2.75</c:v>
                </c:pt>
                <c:pt idx="1">
                  <c:v>1</c:v>
                </c:pt>
                <c:pt idx="2">
                  <c:v>4.67</c:v>
                </c:pt>
              </c:numCache>
            </c:numRef>
          </c:xVal>
          <c:yVal>
            <c:numRef>
              <c:f>Feuil1!$C$2:$C$4</c:f>
              <c:numCache>
                <c:formatCode>0.00%</c:formatCode>
                <c:ptCount val="3"/>
                <c:pt idx="0">
                  <c:v>0.02</c:v>
                </c:pt>
                <c:pt idx="1">
                  <c:v>0.05</c:v>
                </c:pt>
                <c:pt idx="2">
                  <c:v>0.05</c:v>
                </c:pt>
              </c:numCache>
            </c:numRef>
          </c:yVal>
          <c:bubbleSize>
            <c:numRef>
              <c:f>Feuil1!$D$2:$D$4</c:f>
              <c:numCache>
                <c:formatCode>General</c:formatCode>
                <c:ptCount val="3"/>
                <c:pt idx="0">
                  <c:v>10</c:v>
                </c:pt>
                <c:pt idx="1">
                  <c:v>4</c:v>
                </c:pt>
                <c:pt idx="2">
                  <c:v>8</c:v>
                </c:pt>
              </c:numCache>
            </c:numRef>
          </c:bubbleSize>
          <c:bubble3D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bubbleScale val="100"/>
        <c:showNegBubbles val="0"/>
        <c:axId val="43869888"/>
        <c:axId val="43870464"/>
      </c:bubbleChart>
      <c:valAx>
        <c:axId val="43869888"/>
        <c:scaling>
          <c:orientation val="maxMin"/>
          <c:max val="10"/>
          <c:min val="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Part de marché relative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low"/>
        <c:crossAx val="43870464"/>
        <c:crosses val="autoZero"/>
        <c:crossBetween val="midCat"/>
      </c:valAx>
      <c:valAx>
        <c:axId val="43870464"/>
        <c:scaling>
          <c:orientation val="minMax"/>
          <c:max val="0.1"/>
          <c:min val="-0.1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fr-FR"/>
                  <a:t>Croissance du secteur</a:t>
                </a:r>
              </a:p>
            </c:rich>
          </c:tx>
          <c:overlay val="0"/>
        </c:title>
        <c:numFmt formatCode="0%" sourceLinked="0"/>
        <c:majorTickMark val="none"/>
        <c:minorTickMark val="none"/>
        <c:tickLblPos val="nextTo"/>
        <c:crossAx val="43869888"/>
        <c:crosses val="max"/>
        <c:crossBetween val="midCat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0.12935</cdr:x>
      <cdr:y>0.17058</cdr:y>
    </cdr:from>
    <cdr:to>
      <cdr:x>0.54975</cdr:x>
      <cdr:y>0.49041</cdr:y>
    </cdr:to>
    <cdr:sp macro="" textlink="">
      <cdr:nvSpPr>
        <cdr:cNvPr id="2" name="Zone de texte 1"/>
        <cdr:cNvSpPr txBox="1"/>
      </cdr:nvSpPr>
      <cdr:spPr>
        <a:xfrm xmlns:a="http://schemas.openxmlformats.org/drawingml/2006/main">
          <a:off x="709684" y="545911"/>
          <a:ext cx="2306471" cy="1023582"/>
        </a:xfrm>
        <a:prstGeom xmlns:a="http://schemas.openxmlformats.org/drawingml/2006/main" prst="rect">
          <a:avLst/>
        </a:prstGeom>
        <a:solidFill xmlns:a="http://schemas.openxmlformats.org/drawingml/2006/main">
          <a:srgbClr val="C0504D">
            <a:alpha val="60000"/>
          </a:srgbClr>
        </a:solidFill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fr-FR" sz="1100" b="1" u="sng">
              <a:effectLst/>
              <a:latin typeface="+mn-lt"/>
              <a:ea typeface="+mn-ea"/>
              <a:cs typeface="+mn-cs"/>
            </a:rPr>
            <a:t>Vedette</a:t>
          </a:r>
          <a:endParaRPr lang="fr-FR" sz="1100">
            <a:effectLst/>
            <a:latin typeface="+mn-lt"/>
            <a:ea typeface="+mn-ea"/>
            <a:cs typeface="+mn-cs"/>
          </a:endParaRP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Forte rentabilité</a:t>
          </a: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Flux de liquidité plus ou moins équilibré</a:t>
          </a: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Risque moyen</a:t>
          </a:r>
          <a:endParaRPr lang="fr-FR" sz="1100"/>
        </a:p>
      </cdr:txBody>
    </cdr:sp>
  </cdr:relSizeAnchor>
  <cdr:relSizeAnchor xmlns:cdr="http://schemas.openxmlformats.org/drawingml/2006/chartDrawing">
    <cdr:from>
      <cdr:x>0.12935</cdr:x>
      <cdr:y>0.49467</cdr:y>
    </cdr:from>
    <cdr:to>
      <cdr:x>0.54975</cdr:x>
      <cdr:y>0.8145</cdr:y>
    </cdr:to>
    <cdr:sp macro="" textlink="">
      <cdr:nvSpPr>
        <cdr:cNvPr id="4" name="Zone de texte 3"/>
        <cdr:cNvSpPr txBox="1"/>
      </cdr:nvSpPr>
      <cdr:spPr>
        <a:xfrm xmlns:a="http://schemas.openxmlformats.org/drawingml/2006/main">
          <a:off x="709683" y="1583141"/>
          <a:ext cx="2306471" cy="1023582"/>
        </a:xfrm>
        <a:prstGeom xmlns:a="http://schemas.openxmlformats.org/drawingml/2006/main" prst="rect">
          <a:avLst/>
        </a:prstGeom>
        <a:solidFill xmlns:a="http://schemas.openxmlformats.org/drawingml/2006/main">
          <a:srgbClr val="F79646">
            <a:alpha val="60000"/>
          </a:srgbClr>
        </a:solidFill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fr-FR" sz="1100" b="1" u="sng">
              <a:effectLst/>
              <a:latin typeface="+mn-lt"/>
              <a:ea typeface="+mn-ea"/>
              <a:cs typeface="+mn-cs"/>
            </a:rPr>
            <a:t>Vaches à lait</a:t>
          </a:r>
          <a:endParaRPr lang="fr-FR" sz="1100">
            <a:effectLst/>
            <a:latin typeface="+mn-lt"/>
            <a:ea typeface="+mn-ea"/>
            <a:cs typeface="+mn-cs"/>
          </a:endParaRP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Bonne rentabilité</a:t>
          </a: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Apport de liquidités</a:t>
          </a: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Risque faible</a:t>
          </a:r>
          <a:endParaRPr lang="fr-FR" sz="1100"/>
        </a:p>
      </cdr:txBody>
    </cdr:sp>
  </cdr:relSizeAnchor>
  <cdr:relSizeAnchor xmlns:cdr="http://schemas.openxmlformats.org/drawingml/2006/chartDrawing">
    <cdr:from>
      <cdr:x>0.55224</cdr:x>
      <cdr:y>0.16631</cdr:y>
    </cdr:from>
    <cdr:to>
      <cdr:x>0.97015</cdr:x>
      <cdr:y>0.49467</cdr:y>
    </cdr:to>
    <cdr:sp macro="" textlink="">
      <cdr:nvSpPr>
        <cdr:cNvPr id="3" name="Zone de texte 2"/>
        <cdr:cNvSpPr txBox="1"/>
      </cdr:nvSpPr>
      <cdr:spPr>
        <a:xfrm xmlns:a="http://schemas.openxmlformats.org/drawingml/2006/main">
          <a:off x="3029803" y="532262"/>
          <a:ext cx="2292824" cy="1050878"/>
        </a:xfrm>
        <a:prstGeom xmlns:a="http://schemas.openxmlformats.org/drawingml/2006/main" prst="rect">
          <a:avLst/>
        </a:prstGeom>
        <a:solidFill xmlns:a="http://schemas.openxmlformats.org/drawingml/2006/main">
          <a:srgbClr val="4BACC6">
            <a:alpha val="60000"/>
          </a:srgbClr>
        </a:solidFill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fr-FR" sz="1100" b="1" u="sng">
              <a:effectLst/>
              <a:latin typeface="+mn-lt"/>
              <a:ea typeface="+mn-ea"/>
              <a:cs typeface="+mn-cs"/>
            </a:rPr>
            <a:t>Dilemmes</a:t>
          </a:r>
          <a:endParaRPr lang="fr-FR" sz="1100">
            <a:effectLst/>
            <a:latin typeface="+mn-lt"/>
            <a:ea typeface="+mn-ea"/>
            <a:cs typeface="+mn-cs"/>
          </a:endParaRP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Faible rentabilité</a:t>
          </a: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Besoin de liquidités</a:t>
          </a: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Risque fort</a:t>
          </a:r>
          <a:endParaRPr lang="fr-FR" sz="1100"/>
        </a:p>
      </cdr:txBody>
    </cdr:sp>
  </cdr:relSizeAnchor>
  <cdr:relSizeAnchor xmlns:cdr="http://schemas.openxmlformats.org/drawingml/2006/chartDrawing">
    <cdr:from>
      <cdr:x>0.55224</cdr:x>
      <cdr:y>0.49467</cdr:y>
    </cdr:from>
    <cdr:to>
      <cdr:x>0.96766</cdr:x>
      <cdr:y>0.81876</cdr:y>
    </cdr:to>
    <cdr:sp macro="" textlink="">
      <cdr:nvSpPr>
        <cdr:cNvPr id="5" name="Zone de texte 4"/>
        <cdr:cNvSpPr txBox="1"/>
      </cdr:nvSpPr>
      <cdr:spPr>
        <a:xfrm xmlns:a="http://schemas.openxmlformats.org/drawingml/2006/main">
          <a:off x="3029803" y="1583140"/>
          <a:ext cx="2279176" cy="1037229"/>
        </a:xfrm>
        <a:prstGeom xmlns:a="http://schemas.openxmlformats.org/drawingml/2006/main" prst="rect">
          <a:avLst/>
        </a:prstGeom>
        <a:solidFill xmlns:a="http://schemas.openxmlformats.org/drawingml/2006/main">
          <a:srgbClr val="9BBB59">
            <a:alpha val="60000"/>
          </a:srgbClr>
        </a:solidFill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fr-FR" sz="1100" b="1" u="sng">
              <a:effectLst/>
              <a:latin typeface="+mn-lt"/>
              <a:ea typeface="+mn-ea"/>
              <a:cs typeface="+mn-cs"/>
            </a:rPr>
            <a:t>Poids mort</a:t>
          </a:r>
          <a:endParaRPr lang="fr-FR" sz="1100">
            <a:effectLst/>
            <a:latin typeface="+mn-lt"/>
            <a:ea typeface="+mn-ea"/>
            <a:cs typeface="+mn-cs"/>
          </a:endParaRP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Faible rentabilité</a:t>
          </a: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Faible besoin de liquidité</a:t>
          </a:r>
        </a:p>
        <a:p xmlns:a="http://schemas.openxmlformats.org/drawingml/2006/main">
          <a:pPr algn="ctr"/>
          <a:r>
            <a:rPr lang="fr-FR" sz="1100">
              <a:effectLst/>
              <a:latin typeface="+mn-lt"/>
              <a:ea typeface="+mn-ea"/>
              <a:cs typeface="+mn-cs"/>
            </a:rPr>
            <a:t>- Risque moyen</a:t>
          </a:r>
          <a:endParaRPr lang="fr-FR" sz="1100"/>
        </a:p>
      </cdr:txBody>
    </cdr:sp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311FB-5EFD-4756-A431-1E5C7E227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Aurélien</dc:creator>
  <cp:lastModifiedBy>Aurélien</cp:lastModifiedBy>
  <cp:revision>2</cp:revision>
  <dcterms:created xsi:type="dcterms:W3CDTF">2012-01-30T16:28:00Z</dcterms:created>
  <dcterms:modified xsi:type="dcterms:W3CDTF">2012-01-30T20:13:00Z</dcterms:modified>
</cp:coreProperties>
</file>